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6F8C4" w14:textId="2114E82E" w:rsidR="00556CFC" w:rsidRPr="00556CFC" w:rsidRDefault="009971FC" w:rsidP="00556CFC">
      <w:pPr>
        <w:jc w:val="both"/>
        <w:rPr>
          <w:rFonts w:ascii="Verdana" w:hAnsi="Verdana"/>
          <w:b/>
          <w:bCs/>
          <w:lang w:val="en-GB"/>
        </w:rPr>
      </w:pPr>
      <w:r>
        <w:rPr>
          <w:rFonts w:ascii="Verdana" w:hAnsi="Verdana"/>
          <w:b/>
          <w:bCs/>
          <w:lang w:val="en-GB"/>
        </w:rPr>
        <w:t>ECSA position</w:t>
      </w:r>
      <w:r w:rsidRPr="00556CFC">
        <w:rPr>
          <w:rFonts w:ascii="Verdana" w:hAnsi="Verdana"/>
          <w:b/>
          <w:bCs/>
          <w:lang w:val="en-GB"/>
        </w:rPr>
        <w:t xml:space="preserve"> </w:t>
      </w:r>
      <w:r w:rsidR="00556CFC" w:rsidRPr="00556CFC">
        <w:rPr>
          <w:rFonts w:ascii="Verdana" w:hAnsi="Verdana"/>
          <w:b/>
          <w:bCs/>
          <w:lang w:val="en-GB"/>
        </w:rPr>
        <w:t>Paper: Enhancing Global Ship Recycling Standards</w:t>
      </w:r>
    </w:p>
    <w:p w14:paraId="18FC14C9" w14:textId="77777777" w:rsidR="00332CF5" w:rsidRDefault="00332CF5" w:rsidP="00556CFC">
      <w:pPr>
        <w:jc w:val="both"/>
        <w:rPr>
          <w:rFonts w:ascii="Verdana" w:hAnsi="Verdana"/>
          <w:b/>
          <w:bCs/>
          <w:lang w:val="en-GB"/>
        </w:rPr>
      </w:pPr>
      <w:r>
        <w:rPr>
          <w:rFonts w:ascii="Verdana" w:hAnsi="Verdana"/>
          <w:b/>
          <w:bCs/>
          <w:lang w:val="en-GB"/>
        </w:rPr>
        <w:t>Introduction</w:t>
      </w:r>
    </w:p>
    <w:p w14:paraId="657843F4" w14:textId="5FAF4029" w:rsidR="006B46D4" w:rsidRPr="00866FE3" w:rsidRDefault="006B46D4" w:rsidP="006B46D4">
      <w:pPr>
        <w:jc w:val="both"/>
        <w:rPr>
          <w:rFonts w:ascii="Verdana" w:hAnsi="Verdana"/>
          <w:lang w:val="en-GB"/>
        </w:rPr>
      </w:pPr>
      <w:r w:rsidRPr="00866FE3">
        <w:rPr>
          <w:rFonts w:ascii="Verdana" w:hAnsi="Verdana"/>
          <w:lang w:val="en-GB"/>
        </w:rPr>
        <w:t>The European Community Shipowners’ Associations (ECSA) is committed to promoting safe, environmentally sound, and responsible ship recycling practices. ECSA welcomes the entry into force of the Hong Kong International Convention for the Safe and Environmentally Sound Recycling of Ships (HKC) in 2025. This represents a major breakthrough in ensuring high-level environmental and safety standards, as well as creating a global level playing field for ship recycling.</w:t>
      </w:r>
    </w:p>
    <w:p w14:paraId="51D3D02B" w14:textId="301FD583" w:rsidR="006B46D4" w:rsidRPr="00866FE3" w:rsidRDefault="006B46D4" w:rsidP="006B46D4">
      <w:pPr>
        <w:jc w:val="both"/>
        <w:rPr>
          <w:rFonts w:ascii="Verdana" w:hAnsi="Verdana"/>
          <w:lang w:val="en-GB"/>
        </w:rPr>
      </w:pPr>
      <w:r w:rsidRPr="00866FE3">
        <w:rPr>
          <w:rFonts w:ascii="Verdana" w:hAnsi="Verdana"/>
          <w:lang w:val="en-GB"/>
        </w:rPr>
        <w:t xml:space="preserve">For the first time, a globally binding standard will be in place, ensuring that vessels are dismantled in a way that protects both human health and the environment. From 26 June next year, </w:t>
      </w:r>
      <w:r w:rsidR="00F04D16">
        <w:rPr>
          <w:rFonts w:ascii="Verdana" w:hAnsi="Verdana"/>
          <w:lang w:val="en-GB"/>
        </w:rPr>
        <w:t>the 24</w:t>
      </w:r>
      <w:r w:rsidR="00E428BF">
        <w:rPr>
          <w:rFonts w:ascii="Verdana" w:hAnsi="Verdana"/>
          <w:lang w:val="en-GB"/>
        </w:rPr>
        <w:t xml:space="preserve"> </w:t>
      </w:r>
      <w:r w:rsidR="00D05635">
        <w:rPr>
          <w:rFonts w:ascii="Verdana" w:hAnsi="Verdana"/>
          <w:lang w:val="en-GB"/>
        </w:rPr>
        <w:t>p</w:t>
      </w:r>
      <w:r w:rsidR="00426DAB">
        <w:rPr>
          <w:rFonts w:ascii="Verdana" w:hAnsi="Verdana"/>
          <w:lang w:val="en-GB"/>
        </w:rPr>
        <w:t xml:space="preserve">arties to HKC </w:t>
      </w:r>
      <w:r w:rsidRPr="00866FE3">
        <w:rPr>
          <w:rFonts w:ascii="Verdana" w:hAnsi="Verdana"/>
          <w:lang w:val="en-GB"/>
        </w:rPr>
        <w:t xml:space="preserve">will be required to ensure that recycling facilities under their jurisdiction comply with the </w:t>
      </w:r>
      <w:r w:rsidR="00AD2A81">
        <w:rPr>
          <w:rFonts w:ascii="Verdana" w:hAnsi="Verdana"/>
          <w:lang w:val="en-GB"/>
        </w:rPr>
        <w:t>convention</w:t>
      </w:r>
      <w:r w:rsidRPr="00866FE3">
        <w:rPr>
          <w:rFonts w:ascii="Verdana" w:hAnsi="Verdana"/>
          <w:lang w:val="en-GB"/>
        </w:rPr>
        <w:t>.</w:t>
      </w:r>
      <w:r w:rsidR="001248C2">
        <w:rPr>
          <w:rFonts w:ascii="Verdana" w:hAnsi="Verdana"/>
          <w:lang w:val="en-GB"/>
        </w:rPr>
        <w:t xml:space="preserve"> </w:t>
      </w:r>
      <w:r w:rsidR="001248C2" w:rsidRPr="00866FE3">
        <w:rPr>
          <w:rFonts w:ascii="Verdana" w:hAnsi="Verdana"/>
          <w:lang w:val="en-GB"/>
        </w:rPr>
        <w:t>Ship recycling yards must be authorised and prepare a Ship Recycling Facility Plan addressing worker safety, health, environmental protection, and emergency preparedness.</w:t>
      </w:r>
      <w:r w:rsidR="001248C2">
        <w:rPr>
          <w:rFonts w:ascii="Verdana" w:hAnsi="Verdana"/>
          <w:lang w:val="en-GB"/>
        </w:rPr>
        <w:t xml:space="preserve"> </w:t>
      </w:r>
      <w:r w:rsidRPr="00866FE3">
        <w:rPr>
          <w:rFonts w:ascii="Verdana" w:hAnsi="Verdana"/>
          <w:lang w:val="en-GB"/>
        </w:rPr>
        <w:t>HKC imposes stringent obligations on shipowners, who must use only authorised recycling facilities and maintain an Inventory of Hazardous Materials</w:t>
      </w:r>
      <w:r w:rsidR="008966DF">
        <w:rPr>
          <w:rFonts w:ascii="Verdana" w:hAnsi="Verdana"/>
          <w:lang w:val="en-GB"/>
        </w:rPr>
        <w:t xml:space="preserve"> (IHM)</w:t>
      </w:r>
      <w:r w:rsidRPr="00866FE3">
        <w:rPr>
          <w:rFonts w:ascii="Verdana" w:hAnsi="Verdana"/>
          <w:lang w:val="en-GB"/>
        </w:rPr>
        <w:t xml:space="preserve"> specific to each ship.</w:t>
      </w:r>
    </w:p>
    <w:p w14:paraId="7BD72EDF" w14:textId="53811916" w:rsidR="00F31480" w:rsidRDefault="006B46D4" w:rsidP="00556CFC">
      <w:pPr>
        <w:jc w:val="both"/>
        <w:rPr>
          <w:rFonts w:ascii="Verdana" w:hAnsi="Verdana"/>
          <w:b/>
          <w:bCs/>
          <w:lang w:val="en-GB"/>
        </w:rPr>
      </w:pPr>
      <w:r w:rsidRPr="00866FE3">
        <w:rPr>
          <w:rFonts w:ascii="Verdana" w:hAnsi="Verdana"/>
          <w:lang w:val="en-GB"/>
        </w:rPr>
        <w:t xml:space="preserve">As HKC enters into force, it is vital that attention remains focused </w:t>
      </w:r>
      <w:r w:rsidR="00613E57">
        <w:rPr>
          <w:rFonts w:ascii="Verdana" w:hAnsi="Verdana"/>
          <w:lang w:val="en-GB"/>
        </w:rPr>
        <w:t xml:space="preserve">on strengthening </w:t>
      </w:r>
      <w:r w:rsidR="00B663DF">
        <w:rPr>
          <w:rFonts w:ascii="Verdana" w:hAnsi="Verdana"/>
          <w:lang w:val="en-GB"/>
        </w:rPr>
        <w:t>its</w:t>
      </w:r>
      <w:r w:rsidR="0097512F">
        <w:rPr>
          <w:rFonts w:ascii="Verdana" w:hAnsi="Verdana"/>
          <w:lang w:val="en-GB"/>
        </w:rPr>
        <w:t xml:space="preserve"> international</w:t>
      </w:r>
      <w:r w:rsidR="00B663DF">
        <w:rPr>
          <w:rFonts w:ascii="Verdana" w:hAnsi="Verdana"/>
          <w:lang w:val="en-GB"/>
        </w:rPr>
        <w:t xml:space="preserve"> st</w:t>
      </w:r>
      <w:r w:rsidRPr="00866FE3">
        <w:rPr>
          <w:rFonts w:ascii="Verdana" w:hAnsi="Verdana"/>
          <w:lang w:val="en-GB"/>
        </w:rPr>
        <w:t>andards</w:t>
      </w:r>
      <w:r w:rsidR="00EC7942">
        <w:rPr>
          <w:rFonts w:ascii="Verdana" w:hAnsi="Verdana"/>
          <w:lang w:val="en-GB"/>
        </w:rPr>
        <w:t xml:space="preserve">. First of all, </w:t>
      </w:r>
      <w:r w:rsidR="00404A97">
        <w:rPr>
          <w:rFonts w:ascii="Verdana" w:hAnsi="Verdana"/>
          <w:lang w:val="en-GB"/>
        </w:rPr>
        <w:t xml:space="preserve">because 98% of all global ship recycling takes place in five countries – </w:t>
      </w:r>
      <w:r w:rsidR="00404A97" w:rsidRPr="00F04D16">
        <w:rPr>
          <w:rFonts w:ascii="Verdana" w:hAnsi="Verdana"/>
          <w:lang w:val="en-GB"/>
        </w:rPr>
        <w:t>Bangladesh, China, India, Pakistan and Türkiye</w:t>
      </w:r>
      <w:r w:rsidR="00404A97">
        <w:rPr>
          <w:rFonts w:ascii="Verdana" w:hAnsi="Verdana"/>
          <w:lang w:val="en-GB"/>
        </w:rPr>
        <w:t xml:space="preserve"> – </w:t>
      </w:r>
      <w:r w:rsidR="00F04D16">
        <w:rPr>
          <w:rFonts w:ascii="Verdana" w:hAnsi="Verdana"/>
          <w:lang w:val="en-GB"/>
        </w:rPr>
        <w:t>four</w:t>
      </w:r>
      <w:r w:rsidR="00404A97">
        <w:rPr>
          <w:rFonts w:ascii="Verdana" w:hAnsi="Verdana"/>
          <w:lang w:val="en-GB"/>
        </w:rPr>
        <w:t xml:space="preserve"> of which are al</w:t>
      </w:r>
      <w:r w:rsidR="00921B30">
        <w:rPr>
          <w:rFonts w:ascii="Verdana" w:hAnsi="Verdana"/>
          <w:lang w:val="en-GB"/>
        </w:rPr>
        <w:t xml:space="preserve">ready parties to HKC. </w:t>
      </w:r>
      <w:r w:rsidR="007475FF">
        <w:rPr>
          <w:rFonts w:ascii="Verdana" w:hAnsi="Verdana"/>
          <w:lang w:val="en-GB"/>
        </w:rPr>
        <w:t xml:space="preserve">The </w:t>
      </w:r>
      <w:r w:rsidR="00E428BF">
        <w:rPr>
          <w:rFonts w:ascii="Verdana" w:hAnsi="Verdana"/>
          <w:lang w:val="en-GB"/>
        </w:rPr>
        <w:t>EU</w:t>
      </w:r>
      <w:r w:rsidRPr="006C126E">
        <w:rPr>
          <w:rFonts w:ascii="Verdana" w:hAnsi="Verdana"/>
          <w:lang w:val="en-GB"/>
        </w:rPr>
        <w:t xml:space="preserve"> Ship Recycling Regulation (EU SRR)</w:t>
      </w:r>
      <w:r w:rsidR="007475FF">
        <w:rPr>
          <w:rFonts w:ascii="Verdana" w:hAnsi="Verdana"/>
          <w:lang w:val="en-GB"/>
        </w:rPr>
        <w:t xml:space="preserve"> could</w:t>
      </w:r>
      <w:r w:rsidR="00E233E8">
        <w:rPr>
          <w:rFonts w:ascii="Verdana" w:hAnsi="Verdana"/>
          <w:lang w:val="en-GB"/>
        </w:rPr>
        <w:t xml:space="preserve"> be</w:t>
      </w:r>
      <w:r w:rsidR="007475FF">
        <w:rPr>
          <w:rFonts w:ascii="Verdana" w:hAnsi="Verdana"/>
          <w:lang w:val="en-GB"/>
        </w:rPr>
        <w:t xml:space="preserve"> </w:t>
      </w:r>
      <w:r w:rsidR="00866FE3">
        <w:rPr>
          <w:rFonts w:ascii="Verdana" w:hAnsi="Verdana"/>
          <w:lang w:val="en-GB"/>
        </w:rPr>
        <w:t>used as a benchmark for this revision</w:t>
      </w:r>
      <w:r w:rsidR="00EC7942">
        <w:rPr>
          <w:rFonts w:ascii="Verdana" w:hAnsi="Verdana"/>
          <w:lang w:val="en-GB"/>
        </w:rPr>
        <w:t>. Secondly, it is important to provide a clear legal framework for ship recycling instead of having t</w:t>
      </w:r>
      <w:r w:rsidR="00746AF1">
        <w:rPr>
          <w:rFonts w:ascii="Verdana" w:hAnsi="Verdana"/>
          <w:lang w:val="en-GB"/>
        </w:rPr>
        <w:t>w</w:t>
      </w:r>
      <w:r w:rsidR="00EC7942">
        <w:rPr>
          <w:rFonts w:ascii="Verdana" w:hAnsi="Verdana"/>
          <w:lang w:val="en-GB"/>
        </w:rPr>
        <w:t xml:space="preserve">o parallel regulations with different standards for ship recycling, that creates uncertainties for shipowners.  </w:t>
      </w:r>
      <w:r w:rsidR="00E428BF">
        <w:rPr>
          <w:rFonts w:ascii="Verdana" w:hAnsi="Verdana"/>
          <w:lang w:val="en-GB"/>
        </w:rPr>
        <w:t>Levelling up the playing field and ensuring high quality standards internationally</w:t>
      </w:r>
      <w:r w:rsidRPr="00866FE3">
        <w:rPr>
          <w:rFonts w:ascii="Verdana" w:hAnsi="Verdana"/>
          <w:lang w:val="en-GB"/>
        </w:rPr>
        <w:t xml:space="preserve">, regardless of location, </w:t>
      </w:r>
      <w:r w:rsidR="00E428BF">
        <w:rPr>
          <w:rFonts w:ascii="Verdana" w:hAnsi="Verdana"/>
          <w:lang w:val="en-GB"/>
        </w:rPr>
        <w:t xml:space="preserve">is essential to </w:t>
      </w:r>
      <w:r w:rsidRPr="00866FE3">
        <w:rPr>
          <w:rFonts w:ascii="Verdana" w:hAnsi="Verdana"/>
          <w:lang w:val="en-GB"/>
        </w:rPr>
        <w:t xml:space="preserve">uphold safety and environmental </w:t>
      </w:r>
      <w:r w:rsidR="00E428BF">
        <w:rPr>
          <w:rFonts w:ascii="Verdana" w:hAnsi="Verdana"/>
          <w:lang w:val="en-GB"/>
        </w:rPr>
        <w:t>protection</w:t>
      </w:r>
      <w:r w:rsidR="00EC7942">
        <w:rPr>
          <w:rFonts w:ascii="Verdana" w:hAnsi="Verdana"/>
          <w:lang w:val="en-GB"/>
        </w:rPr>
        <w:t xml:space="preserve"> </w:t>
      </w:r>
      <w:r w:rsidR="003F39FE">
        <w:rPr>
          <w:rFonts w:ascii="Verdana" w:hAnsi="Verdana"/>
          <w:lang w:val="en-GB"/>
        </w:rPr>
        <w:t xml:space="preserve">and to increase the capacity </w:t>
      </w:r>
      <w:r w:rsidR="0059638A">
        <w:rPr>
          <w:rFonts w:ascii="Verdana" w:hAnsi="Verdana"/>
          <w:lang w:val="en-GB"/>
        </w:rPr>
        <w:t>of ship recycling globally.</w:t>
      </w:r>
    </w:p>
    <w:p w14:paraId="793C3B4C" w14:textId="0708E8CA" w:rsidR="00332CF5" w:rsidRDefault="00332CF5" w:rsidP="00556CFC">
      <w:pPr>
        <w:jc w:val="both"/>
        <w:rPr>
          <w:rFonts w:ascii="Verdana" w:hAnsi="Verdana"/>
          <w:b/>
          <w:bCs/>
          <w:lang w:val="en-GB"/>
        </w:rPr>
      </w:pPr>
      <w:r w:rsidRPr="00332CF5">
        <w:rPr>
          <w:rFonts w:ascii="Verdana" w:hAnsi="Verdana"/>
          <w:b/>
          <w:bCs/>
          <w:lang w:val="en-GB"/>
        </w:rPr>
        <w:t>Summary:</w:t>
      </w:r>
    </w:p>
    <w:p w14:paraId="4FD763A4" w14:textId="75F43B27" w:rsidR="00332CF5" w:rsidRPr="006C126E" w:rsidRDefault="00332CF5" w:rsidP="00332CF5">
      <w:pPr>
        <w:spacing w:after="0" w:line="240" w:lineRule="auto"/>
        <w:jc w:val="both"/>
        <w:rPr>
          <w:rFonts w:ascii="Verdana" w:hAnsi="Verdana"/>
          <w:lang w:val="en-US"/>
        </w:rPr>
      </w:pPr>
      <w:r w:rsidRPr="006C126E">
        <w:rPr>
          <w:rFonts w:ascii="Verdana" w:hAnsi="Verdana"/>
          <w:lang w:val="en-US"/>
        </w:rPr>
        <w:t>ECSA supports:</w:t>
      </w:r>
    </w:p>
    <w:p w14:paraId="1516629F" w14:textId="04A30DD1" w:rsidR="00332CF5" w:rsidRDefault="00332CF5" w:rsidP="00332CF5">
      <w:pPr>
        <w:pStyle w:val="ListParagraph"/>
        <w:numPr>
          <w:ilvl w:val="0"/>
          <w:numId w:val="1"/>
        </w:numPr>
        <w:spacing w:after="0" w:line="240" w:lineRule="auto"/>
        <w:jc w:val="both"/>
        <w:rPr>
          <w:rFonts w:ascii="Verdana" w:hAnsi="Verdana"/>
          <w:lang w:val="en-GB"/>
        </w:rPr>
      </w:pPr>
      <w:r w:rsidRPr="00332CF5">
        <w:rPr>
          <w:rFonts w:ascii="Verdana" w:hAnsi="Verdana"/>
          <w:lang w:val="en-GB"/>
        </w:rPr>
        <w:t>A clear legal framework for ship recycling</w:t>
      </w:r>
      <w:r w:rsidR="000E5873">
        <w:rPr>
          <w:rFonts w:ascii="Verdana" w:hAnsi="Verdana"/>
          <w:lang w:val="en-GB"/>
        </w:rPr>
        <w:t xml:space="preserve"> globally</w:t>
      </w:r>
      <w:r w:rsidR="00C230C9" w:rsidRPr="001A62A6">
        <w:rPr>
          <w:rFonts w:ascii="Verdana" w:hAnsi="Verdana"/>
          <w:lang w:val="en-GB"/>
        </w:rPr>
        <w:t>;</w:t>
      </w:r>
    </w:p>
    <w:p w14:paraId="61176C4B" w14:textId="56C7172B" w:rsidR="00926081" w:rsidRDefault="00926081" w:rsidP="00332CF5">
      <w:pPr>
        <w:pStyle w:val="ListParagraph"/>
        <w:numPr>
          <w:ilvl w:val="0"/>
          <w:numId w:val="1"/>
        </w:numPr>
        <w:spacing w:after="0" w:line="240" w:lineRule="auto"/>
        <w:jc w:val="both"/>
        <w:rPr>
          <w:rFonts w:ascii="Verdana" w:hAnsi="Verdana"/>
          <w:lang w:val="en-GB"/>
        </w:rPr>
      </w:pPr>
      <w:r>
        <w:rPr>
          <w:rFonts w:ascii="Verdana" w:hAnsi="Verdana"/>
          <w:lang w:val="en-GB"/>
        </w:rPr>
        <w:t xml:space="preserve">Considering a revision of the HKC requirements instead of a revision of the </w:t>
      </w:r>
      <w:r w:rsidR="00195ABB">
        <w:rPr>
          <w:rFonts w:ascii="Verdana" w:hAnsi="Verdana"/>
          <w:lang w:val="en-GB"/>
        </w:rPr>
        <w:t>EU Ship Recycling</w:t>
      </w:r>
      <w:r w:rsidR="00B4208C">
        <w:rPr>
          <w:rFonts w:ascii="Verdana" w:hAnsi="Verdana"/>
          <w:lang w:val="en-GB"/>
        </w:rPr>
        <w:t xml:space="preserve"> Regulation to ensure uniform global</w:t>
      </w:r>
      <w:r w:rsidR="00BB5208">
        <w:rPr>
          <w:rFonts w:ascii="Verdana" w:hAnsi="Verdana"/>
          <w:lang w:val="en-GB"/>
        </w:rPr>
        <w:t xml:space="preserve"> standards for safe and environmentally sound ship </w:t>
      </w:r>
      <w:proofErr w:type="gramStart"/>
      <w:r w:rsidR="00BB5208">
        <w:rPr>
          <w:rFonts w:ascii="Verdana" w:hAnsi="Verdana"/>
          <w:lang w:val="en-GB"/>
        </w:rPr>
        <w:t>recycling;</w:t>
      </w:r>
      <w:proofErr w:type="gramEnd"/>
    </w:p>
    <w:p w14:paraId="2CAC9FA0" w14:textId="3257AC0E" w:rsidR="008B59CB" w:rsidRDefault="008B59CB" w:rsidP="00332CF5">
      <w:pPr>
        <w:pStyle w:val="ListParagraph"/>
        <w:numPr>
          <w:ilvl w:val="0"/>
          <w:numId w:val="1"/>
        </w:numPr>
        <w:spacing w:after="0" w:line="240" w:lineRule="auto"/>
        <w:jc w:val="both"/>
        <w:rPr>
          <w:rFonts w:ascii="Verdana" w:hAnsi="Verdana"/>
          <w:lang w:val="en-GB"/>
        </w:rPr>
      </w:pPr>
      <w:r>
        <w:rPr>
          <w:rFonts w:ascii="Verdana" w:hAnsi="Verdana"/>
          <w:lang w:val="en-GB"/>
        </w:rPr>
        <w:t xml:space="preserve">The addition of non-OECD ship recycling facilities on the EU SRR list as soon as they meet the EU SRR </w:t>
      </w:r>
      <w:proofErr w:type="gramStart"/>
      <w:r>
        <w:rPr>
          <w:rFonts w:ascii="Verdana" w:hAnsi="Verdana"/>
          <w:lang w:val="en-GB"/>
        </w:rPr>
        <w:t>requirements</w:t>
      </w:r>
      <w:r w:rsidR="00F31480">
        <w:rPr>
          <w:rFonts w:ascii="Verdana" w:hAnsi="Verdana"/>
          <w:lang w:val="en-GB"/>
        </w:rPr>
        <w:t>;</w:t>
      </w:r>
      <w:proofErr w:type="gramEnd"/>
    </w:p>
    <w:p w14:paraId="32EB5433" w14:textId="51B67366" w:rsidR="00F31480" w:rsidRPr="006C126E" w:rsidRDefault="00F31480" w:rsidP="00F31480">
      <w:pPr>
        <w:pStyle w:val="ListParagraph"/>
        <w:numPr>
          <w:ilvl w:val="0"/>
          <w:numId w:val="1"/>
        </w:numPr>
        <w:spacing w:after="0" w:line="240" w:lineRule="auto"/>
        <w:jc w:val="both"/>
        <w:rPr>
          <w:rFonts w:ascii="Verdana" w:hAnsi="Verdana"/>
          <w:lang w:val="en-GB"/>
        </w:rPr>
      </w:pPr>
      <w:r>
        <w:rPr>
          <w:rFonts w:ascii="Verdana" w:hAnsi="Verdana"/>
          <w:lang w:val="en-GB"/>
        </w:rPr>
        <w:t xml:space="preserve">Incentive schemes would not be fit for purpose. </w:t>
      </w:r>
    </w:p>
    <w:p w14:paraId="3D9C4154" w14:textId="77777777" w:rsidR="00BC0A9D" w:rsidRPr="00E233E8" w:rsidRDefault="00BC0A9D" w:rsidP="006C126E">
      <w:pPr>
        <w:pStyle w:val="ListParagraph"/>
        <w:spacing w:after="0" w:line="240" w:lineRule="auto"/>
        <w:ind w:left="360"/>
        <w:jc w:val="both"/>
        <w:rPr>
          <w:b/>
          <w:bCs/>
          <w:lang w:val="en-GB"/>
        </w:rPr>
      </w:pPr>
    </w:p>
    <w:p w14:paraId="34A7297D" w14:textId="6426EBE8" w:rsidR="00556CFC" w:rsidRPr="00D228FC" w:rsidRDefault="00556CFC" w:rsidP="00EA080F">
      <w:pPr>
        <w:rPr>
          <w:rFonts w:ascii="Verdana" w:hAnsi="Verdana"/>
          <w:b/>
          <w:bCs/>
          <w:lang w:val="en-GB"/>
        </w:rPr>
      </w:pPr>
      <w:r w:rsidRPr="00D228FC">
        <w:rPr>
          <w:rFonts w:ascii="Verdana" w:hAnsi="Verdana"/>
          <w:b/>
          <w:bCs/>
          <w:lang w:val="en-GB"/>
        </w:rPr>
        <w:t>Support for the Hong Kong International Convention</w:t>
      </w:r>
    </w:p>
    <w:p w14:paraId="50A9884B" w14:textId="03050DA0" w:rsidR="00B47721" w:rsidRDefault="004B1AE3" w:rsidP="00AA27D7">
      <w:pPr>
        <w:jc w:val="both"/>
        <w:rPr>
          <w:rFonts w:ascii="Verdana" w:hAnsi="Verdana"/>
          <w:lang w:val="en-GB"/>
        </w:rPr>
      </w:pPr>
      <w:r>
        <w:rPr>
          <w:rFonts w:ascii="Verdana" w:hAnsi="Verdana"/>
          <w:lang w:val="en-GB"/>
        </w:rPr>
        <w:t>ECSA welcomes the ratification of</w:t>
      </w:r>
      <w:r w:rsidR="00C31FB3">
        <w:rPr>
          <w:rFonts w:ascii="Verdana" w:hAnsi="Verdana"/>
          <w:lang w:val="en-GB"/>
        </w:rPr>
        <w:t xml:space="preserve"> HKC </w:t>
      </w:r>
      <w:r w:rsidR="00A26A7D">
        <w:rPr>
          <w:rFonts w:ascii="Verdana" w:hAnsi="Verdana"/>
          <w:lang w:val="en-GB"/>
        </w:rPr>
        <w:t xml:space="preserve"> on ship recycling</w:t>
      </w:r>
      <w:r w:rsidR="00002103">
        <w:rPr>
          <w:rFonts w:ascii="Verdana" w:hAnsi="Verdana"/>
          <w:lang w:val="en-GB"/>
        </w:rPr>
        <w:t>,</w:t>
      </w:r>
      <w:r w:rsidR="00F343EE">
        <w:rPr>
          <w:rFonts w:ascii="Verdana" w:hAnsi="Verdana"/>
          <w:lang w:val="en-GB"/>
        </w:rPr>
        <w:t xml:space="preserve"> which will provide for a global level playing field. In this regard, a revision of the Hong Kong Convention</w:t>
      </w:r>
      <w:r w:rsidR="00CC374F">
        <w:rPr>
          <w:rFonts w:ascii="Verdana" w:hAnsi="Verdana"/>
          <w:lang w:val="en-GB"/>
        </w:rPr>
        <w:t xml:space="preserve"> </w:t>
      </w:r>
      <w:r w:rsidR="00F63BD6">
        <w:rPr>
          <w:rFonts w:ascii="Verdana" w:hAnsi="Verdana"/>
          <w:lang w:val="en-GB"/>
        </w:rPr>
        <w:t xml:space="preserve">would </w:t>
      </w:r>
      <w:r w:rsidR="009C4479">
        <w:rPr>
          <w:rFonts w:ascii="Verdana" w:hAnsi="Verdana"/>
          <w:lang w:val="en-GB"/>
        </w:rPr>
        <w:t xml:space="preserve">ensure </w:t>
      </w:r>
      <w:r w:rsidR="00CC374F">
        <w:rPr>
          <w:rFonts w:ascii="Verdana" w:hAnsi="Verdana"/>
          <w:lang w:val="en-GB"/>
        </w:rPr>
        <w:t>high standards of safety and environmental protection.</w:t>
      </w:r>
      <w:r w:rsidR="00A87D27">
        <w:rPr>
          <w:rFonts w:ascii="Verdana" w:hAnsi="Verdana"/>
          <w:lang w:val="en-GB"/>
        </w:rPr>
        <w:t xml:space="preserve"> To ensure uniform standards on ship recycling globally, ECSA</w:t>
      </w:r>
      <w:r w:rsidR="00B47721">
        <w:rPr>
          <w:rFonts w:ascii="Verdana" w:hAnsi="Verdana"/>
          <w:lang w:val="en-GB"/>
        </w:rPr>
        <w:t xml:space="preserve"> </w:t>
      </w:r>
      <w:r w:rsidR="00D1641C" w:rsidRPr="00CC2EEC">
        <w:rPr>
          <w:rFonts w:ascii="Verdana" w:hAnsi="Verdana"/>
          <w:lang w:val="en-GB"/>
        </w:rPr>
        <w:t xml:space="preserve">urges the European </w:t>
      </w:r>
      <w:r w:rsidR="00D1641C" w:rsidRPr="00884C86">
        <w:rPr>
          <w:rFonts w:ascii="Verdana" w:hAnsi="Verdana"/>
          <w:lang w:val="en-GB"/>
        </w:rPr>
        <w:t>Commission</w:t>
      </w:r>
      <w:r w:rsidR="00D1641C">
        <w:rPr>
          <w:rFonts w:ascii="Verdana" w:hAnsi="Verdana"/>
          <w:lang w:val="en-GB"/>
        </w:rPr>
        <w:t xml:space="preserve"> </w:t>
      </w:r>
      <w:r w:rsidR="00D1641C" w:rsidRPr="00884C86">
        <w:rPr>
          <w:rFonts w:ascii="Verdana" w:hAnsi="Verdana"/>
          <w:lang w:val="en-GB"/>
        </w:rPr>
        <w:t>to</w:t>
      </w:r>
      <w:r w:rsidR="00D1641C">
        <w:rPr>
          <w:rFonts w:ascii="Verdana" w:hAnsi="Verdana"/>
          <w:lang w:val="en-GB"/>
        </w:rPr>
        <w:t xml:space="preserve"> work towards </w:t>
      </w:r>
      <w:r w:rsidR="00D1641C" w:rsidRPr="00556CFC">
        <w:rPr>
          <w:rFonts w:ascii="Verdana" w:hAnsi="Verdana"/>
          <w:lang w:val="en-GB"/>
        </w:rPr>
        <w:t>strengthening</w:t>
      </w:r>
      <w:r w:rsidR="00C24F1E">
        <w:rPr>
          <w:rFonts w:ascii="Verdana" w:hAnsi="Verdana"/>
          <w:lang w:val="en-GB"/>
        </w:rPr>
        <w:t xml:space="preserve"> </w:t>
      </w:r>
      <w:r w:rsidR="00D1641C" w:rsidRPr="00556CFC">
        <w:rPr>
          <w:rFonts w:ascii="Verdana" w:hAnsi="Verdana"/>
          <w:lang w:val="en-GB"/>
        </w:rPr>
        <w:t>HKC's requirements rather than introducing additional criteria in EU SRR</w:t>
      </w:r>
      <w:r w:rsidR="00D1641C">
        <w:rPr>
          <w:rFonts w:ascii="Verdana" w:hAnsi="Verdana"/>
          <w:lang w:val="en-GB"/>
        </w:rPr>
        <w:t xml:space="preserve"> to ensure a global level-playing field.</w:t>
      </w:r>
    </w:p>
    <w:p w14:paraId="1680FA7E" w14:textId="2D01ACEE" w:rsidR="007A2A33" w:rsidRDefault="00AA27D7" w:rsidP="007A2A33">
      <w:pPr>
        <w:jc w:val="both"/>
        <w:rPr>
          <w:rFonts w:ascii="Verdana" w:hAnsi="Verdana"/>
          <w:lang w:val="en-GB"/>
        </w:rPr>
      </w:pPr>
      <w:r w:rsidRPr="00F5668D">
        <w:rPr>
          <w:rFonts w:ascii="Verdana" w:hAnsi="Verdana"/>
          <w:lang w:val="en-GB"/>
        </w:rPr>
        <w:lastRenderedPageBreak/>
        <w:t>EU SRR contains provisions which are similar, but not necessarily identical to the HKC.</w:t>
      </w:r>
      <w:r w:rsidR="0030380E">
        <w:rPr>
          <w:rFonts w:ascii="Verdana" w:hAnsi="Verdana"/>
          <w:lang w:val="en-GB"/>
        </w:rPr>
        <w:t xml:space="preserve"> </w:t>
      </w:r>
      <w:r w:rsidR="007A2A33" w:rsidRPr="00556CFC">
        <w:rPr>
          <w:rFonts w:ascii="Verdana" w:hAnsi="Verdana"/>
          <w:lang w:val="en-GB"/>
        </w:rPr>
        <w:t>Enhancing the HKC will ensure uniform global standards, preventing a fragmented regulatory landscape.</w:t>
      </w:r>
    </w:p>
    <w:p w14:paraId="09677C45" w14:textId="77777777" w:rsidR="006C126E" w:rsidRDefault="00B44513" w:rsidP="00556CFC">
      <w:pPr>
        <w:jc w:val="both"/>
        <w:rPr>
          <w:rFonts w:ascii="Verdana" w:hAnsi="Verdana"/>
          <w:lang w:val="en-GB"/>
        </w:rPr>
      </w:pPr>
      <w:r w:rsidRPr="00F5668D">
        <w:rPr>
          <w:rFonts w:ascii="Verdana" w:hAnsi="Verdana"/>
          <w:lang w:val="en-GB"/>
        </w:rPr>
        <w:t xml:space="preserve">Possible </w:t>
      </w:r>
      <w:r w:rsidR="00B3177D">
        <w:rPr>
          <w:rFonts w:ascii="Verdana" w:hAnsi="Verdana"/>
          <w:lang w:val="en-GB"/>
        </w:rPr>
        <w:t>ways</w:t>
      </w:r>
      <w:r w:rsidR="00B3177D" w:rsidRPr="00F5668D">
        <w:rPr>
          <w:rFonts w:ascii="Verdana" w:hAnsi="Verdana"/>
          <w:lang w:val="en-GB"/>
        </w:rPr>
        <w:t xml:space="preserve"> </w:t>
      </w:r>
      <w:r w:rsidRPr="00F5668D">
        <w:rPr>
          <w:rFonts w:ascii="Verdana" w:hAnsi="Verdana"/>
          <w:lang w:val="en-GB"/>
        </w:rPr>
        <w:t>for revision of HKC include, among others, aligning the</w:t>
      </w:r>
      <w:r w:rsidR="00EC7942">
        <w:rPr>
          <w:rFonts w:ascii="Verdana" w:hAnsi="Verdana"/>
          <w:lang w:val="en-GB"/>
        </w:rPr>
        <w:t xml:space="preserve"> Inventory of Hazardous Materials (</w:t>
      </w:r>
      <w:r w:rsidRPr="00F5668D">
        <w:rPr>
          <w:rFonts w:ascii="Verdana" w:hAnsi="Verdana"/>
          <w:lang w:val="en-GB"/>
        </w:rPr>
        <w:t>IHM</w:t>
      </w:r>
      <w:r w:rsidR="00EC7942">
        <w:rPr>
          <w:rFonts w:ascii="Verdana" w:hAnsi="Verdana"/>
          <w:lang w:val="en-GB"/>
        </w:rPr>
        <w:t>)</w:t>
      </w:r>
      <w:r w:rsidR="45405D1F" w:rsidRPr="539E5509">
        <w:rPr>
          <w:rFonts w:ascii="Verdana" w:hAnsi="Verdana"/>
          <w:lang w:val="en-GB"/>
        </w:rPr>
        <w:t xml:space="preserve"> list</w:t>
      </w:r>
      <w:r w:rsidRPr="00F5668D">
        <w:rPr>
          <w:rFonts w:ascii="Verdana" w:hAnsi="Verdana"/>
          <w:lang w:val="en-GB"/>
        </w:rPr>
        <w:t xml:space="preserve"> </w:t>
      </w:r>
      <w:r w:rsidR="65F5D916" w:rsidRPr="539E5509">
        <w:rPr>
          <w:rFonts w:ascii="Verdana" w:hAnsi="Verdana"/>
          <w:lang w:val="en-GB"/>
        </w:rPr>
        <w:t>of</w:t>
      </w:r>
      <w:r w:rsidRPr="00F5668D">
        <w:rPr>
          <w:rFonts w:ascii="Verdana" w:hAnsi="Verdana"/>
          <w:lang w:val="en-GB"/>
        </w:rPr>
        <w:t xml:space="preserve"> HKC with that </w:t>
      </w:r>
      <w:r w:rsidR="2295A676" w:rsidRPr="539E5509">
        <w:rPr>
          <w:rFonts w:ascii="Verdana" w:hAnsi="Verdana"/>
          <w:lang w:val="en-GB"/>
        </w:rPr>
        <w:t>of</w:t>
      </w:r>
      <w:r w:rsidRPr="00F5668D">
        <w:rPr>
          <w:rFonts w:ascii="Verdana" w:hAnsi="Verdana"/>
          <w:lang w:val="en-GB"/>
        </w:rPr>
        <w:t xml:space="preserve"> EU SRR, as EU SRR requires the identification of two additional hazardous materials. </w:t>
      </w:r>
      <w:r w:rsidRPr="539E5509">
        <w:rPr>
          <w:rFonts w:ascii="Verdana" w:hAnsi="Verdana"/>
          <w:lang w:val="en-GB"/>
        </w:rPr>
        <w:t>Furthermore</w:t>
      </w:r>
      <w:r w:rsidR="00953794" w:rsidRPr="539E5509">
        <w:rPr>
          <w:rFonts w:ascii="Verdana" w:hAnsi="Verdana"/>
          <w:lang w:val="en-GB"/>
        </w:rPr>
        <w:t>,</w:t>
      </w:r>
      <w:r w:rsidRPr="539E5509">
        <w:rPr>
          <w:rFonts w:ascii="Verdana" w:hAnsi="Verdana"/>
          <w:lang w:val="en-GB"/>
        </w:rPr>
        <w:t xml:space="preserve"> </w:t>
      </w:r>
      <w:r w:rsidR="00B3177D">
        <w:rPr>
          <w:rFonts w:ascii="Verdana" w:hAnsi="Verdana"/>
          <w:lang w:val="en-GB"/>
        </w:rPr>
        <w:t>HKC may</w:t>
      </w:r>
      <w:r w:rsidR="001B0D88">
        <w:rPr>
          <w:rFonts w:ascii="Verdana" w:hAnsi="Verdana"/>
          <w:lang w:val="en-GB"/>
        </w:rPr>
        <w:t xml:space="preserve"> address </w:t>
      </w:r>
      <w:r w:rsidR="00823FCC">
        <w:rPr>
          <w:rFonts w:ascii="Verdana" w:hAnsi="Verdana"/>
          <w:lang w:val="en-GB"/>
        </w:rPr>
        <w:t xml:space="preserve">medical treatment and facilities </w:t>
      </w:r>
      <w:r w:rsidR="00B3177D">
        <w:rPr>
          <w:rFonts w:ascii="Verdana" w:hAnsi="Verdana"/>
          <w:lang w:val="en-GB"/>
        </w:rPr>
        <w:t>in a clearer manner</w:t>
      </w:r>
      <w:r w:rsidR="00823FCC">
        <w:rPr>
          <w:rFonts w:ascii="Verdana" w:hAnsi="Verdana"/>
          <w:lang w:val="en-GB"/>
        </w:rPr>
        <w:t>. While medical treatment</w:t>
      </w:r>
      <w:r w:rsidR="00E64FB5">
        <w:rPr>
          <w:rFonts w:ascii="Verdana" w:hAnsi="Verdana"/>
          <w:lang w:val="en-GB"/>
        </w:rPr>
        <w:t xml:space="preserve"> &amp;</w:t>
      </w:r>
      <w:r w:rsidR="00E64FB5" w:rsidRPr="00E64FB5">
        <w:rPr>
          <w:rFonts w:ascii="Verdana" w:hAnsi="Verdana"/>
          <w:lang w:val="en-GB"/>
        </w:rPr>
        <w:t xml:space="preserve"> </w:t>
      </w:r>
      <w:r w:rsidR="00E64FB5">
        <w:rPr>
          <w:rFonts w:ascii="Verdana" w:hAnsi="Verdana"/>
          <w:lang w:val="en-GB"/>
        </w:rPr>
        <w:t>trauma centres</w:t>
      </w:r>
      <w:r w:rsidR="00D62141">
        <w:rPr>
          <w:rFonts w:ascii="Verdana" w:hAnsi="Verdana"/>
          <w:lang w:val="en-GB"/>
        </w:rPr>
        <w:t xml:space="preserve"> </w:t>
      </w:r>
      <w:r w:rsidR="00E64FB5">
        <w:rPr>
          <w:rFonts w:ascii="Verdana" w:hAnsi="Verdana"/>
          <w:lang w:val="en-GB"/>
        </w:rPr>
        <w:t xml:space="preserve">are </w:t>
      </w:r>
      <w:r w:rsidR="0092269B">
        <w:rPr>
          <w:rFonts w:ascii="Verdana" w:hAnsi="Verdana"/>
          <w:lang w:val="en-GB"/>
        </w:rPr>
        <w:t>mentioned in the HKC Guidelines, it</w:t>
      </w:r>
      <w:r w:rsidR="00E64FB5">
        <w:rPr>
          <w:rFonts w:ascii="Verdana" w:hAnsi="Verdana"/>
          <w:lang w:val="en-GB"/>
        </w:rPr>
        <w:t>s provisions are</w:t>
      </w:r>
      <w:r w:rsidR="0092269B">
        <w:rPr>
          <w:rFonts w:ascii="Verdana" w:hAnsi="Verdana"/>
          <w:lang w:val="en-GB"/>
        </w:rPr>
        <w:t xml:space="preserve"> not as </w:t>
      </w:r>
      <w:r w:rsidR="00B3177D">
        <w:rPr>
          <w:rFonts w:ascii="Verdana" w:hAnsi="Verdana"/>
          <w:lang w:val="en-GB"/>
        </w:rPr>
        <w:t xml:space="preserve">detailed </w:t>
      </w:r>
      <w:r w:rsidR="0092269B">
        <w:rPr>
          <w:rFonts w:ascii="Verdana" w:hAnsi="Verdana"/>
          <w:lang w:val="en-GB"/>
        </w:rPr>
        <w:t xml:space="preserve">as in EU SRR. </w:t>
      </w:r>
      <w:r w:rsidR="004B45A6">
        <w:rPr>
          <w:rFonts w:ascii="Verdana" w:hAnsi="Verdana"/>
          <w:lang w:val="en-GB"/>
        </w:rPr>
        <w:t xml:space="preserve"> </w:t>
      </w:r>
    </w:p>
    <w:p w14:paraId="627487FE" w14:textId="7649D46E" w:rsidR="00556CFC" w:rsidRDefault="00556CFC" w:rsidP="00556CFC">
      <w:pPr>
        <w:jc w:val="both"/>
        <w:rPr>
          <w:rFonts w:ascii="Verdana" w:hAnsi="Verdana"/>
          <w:b/>
          <w:bCs/>
          <w:lang w:val="en-GB"/>
        </w:rPr>
      </w:pPr>
      <w:r w:rsidRPr="00556CFC">
        <w:rPr>
          <w:rFonts w:ascii="Verdana" w:hAnsi="Verdana"/>
          <w:b/>
          <w:bCs/>
          <w:lang w:val="en-GB"/>
        </w:rPr>
        <w:t>Capacity Challenges of the EU Ship Recycling List</w:t>
      </w:r>
    </w:p>
    <w:p w14:paraId="2412DB03" w14:textId="3578B9C3" w:rsidR="00FA2AFA" w:rsidRDefault="00FA2AFA" w:rsidP="00556CFC">
      <w:pPr>
        <w:jc w:val="both"/>
        <w:rPr>
          <w:rFonts w:ascii="Verdana" w:hAnsi="Verdana"/>
          <w:lang w:val="en-GB"/>
        </w:rPr>
      </w:pPr>
      <w:r w:rsidRPr="006C126E">
        <w:rPr>
          <w:rFonts w:ascii="Verdana" w:hAnsi="Verdana"/>
          <w:lang w:val="en-GB"/>
        </w:rPr>
        <w:t>A significant concern for the European shipping industry is the limited capacity of EU SRR-approved ship recycling facilities. Despite the growing number of facilities on the EU list, their capacity remains insufficient to meet the demands of the shipping industry. ECSA, therefore, urges the Commission to expand the EU list, including facilities in non-OECD countries where substantial improvements have been made in securing safe and environmentally sound ship recycling</w:t>
      </w:r>
      <w:r w:rsidR="004B45A6">
        <w:rPr>
          <w:rFonts w:ascii="Verdana" w:hAnsi="Verdana"/>
          <w:lang w:val="en-GB"/>
        </w:rPr>
        <w:t xml:space="preserve"> as soon as they meet the requirements of EU SRR</w:t>
      </w:r>
      <w:r w:rsidRPr="006C126E">
        <w:rPr>
          <w:rFonts w:ascii="Verdana" w:hAnsi="Verdana"/>
          <w:lang w:val="en-GB"/>
        </w:rPr>
        <w:t>.</w:t>
      </w:r>
    </w:p>
    <w:p w14:paraId="1D1D63E5" w14:textId="1D52FB76" w:rsidR="0063624B" w:rsidRPr="0063624B" w:rsidRDefault="00FA2AFA" w:rsidP="00556CFC">
      <w:pPr>
        <w:jc w:val="both"/>
        <w:rPr>
          <w:rFonts w:ascii="Verdana" w:hAnsi="Verdana"/>
          <w:highlight w:val="yellow"/>
          <w:lang w:val="en-GB"/>
        </w:rPr>
      </w:pPr>
      <w:r w:rsidRPr="004B45A6">
        <w:rPr>
          <w:rFonts w:ascii="Verdana" w:hAnsi="Verdana"/>
          <w:lang w:val="en-GB"/>
        </w:rPr>
        <w:t>As almost 98% of global ship recycling takes place in five countries—Bangladesh, China, India, Pakistan, and Türkiye—</w:t>
      </w:r>
      <w:r w:rsidR="00B363F2">
        <w:rPr>
          <w:rFonts w:ascii="Verdana" w:hAnsi="Verdana"/>
          <w:lang w:val="en-GB"/>
        </w:rPr>
        <w:t>four</w:t>
      </w:r>
      <w:r w:rsidRPr="004B45A6">
        <w:rPr>
          <w:rFonts w:ascii="Verdana" w:hAnsi="Verdana"/>
          <w:lang w:val="en-GB"/>
        </w:rPr>
        <w:t xml:space="preserve"> of which are already parties to the HKC, it is essential to continue supporting the work of the International Maritime Organization (IMO) and to add non-OECD yards to the EU list. Since 2016, 27 Indian ship recycling facilities have applied to the EU list, but none have been accepted.</w:t>
      </w:r>
      <w:r w:rsidR="00626FFF">
        <w:rPr>
          <w:rFonts w:ascii="Verdana" w:hAnsi="Verdana"/>
          <w:lang w:val="en-GB"/>
        </w:rPr>
        <w:t xml:space="preserve"> </w:t>
      </w:r>
      <w:r w:rsidR="0063624B" w:rsidRPr="006C126E">
        <w:rPr>
          <w:rFonts w:ascii="Verdana" w:hAnsi="Verdana"/>
          <w:lang w:val="en-GB"/>
        </w:rPr>
        <w:t>Continuing cooperation with IMO to ensure high standards of non-OECD recycling and to advocate for the inclusion of these yards on the EU list is of utmost importance for European shipowners</w:t>
      </w:r>
      <w:r w:rsidR="0063624B">
        <w:rPr>
          <w:rFonts w:ascii="Verdana" w:hAnsi="Verdana"/>
          <w:lang w:val="en-GB"/>
        </w:rPr>
        <w:t>.</w:t>
      </w:r>
    </w:p>
    <w:p w14:paraId="6E279B06" w14:textId="3C0A0C76" w:rsidR="00EE3D04" w:rsidRDefault="00FA2AFA" w:rsidP="00767C33">
      <w:pPr>
        <w:jc w:val="both"/>
        <w:rPr>
          <w:rFonts w:ascii="Verdana" w:hAnsi="Verdana"/>
          <w:lang w:val="en-GB"/>
        </w:rPr>
      </w:pPr>
      <w:r w:rsidRPr="002E2172">
        <w:rPr>
          <w:rFonts w:ascii="Verdana" w:hAnsi="Verdana"/>
          <w:lang w:val="en-GB"/>
        </w:rPr>
        <w:t>The HKC is the instrument preferred by European shipowners because it improves conditions for ship recycling and increases capacity on a global scale, which is crucial</w:t>
      </w:r>
      <w:r w:rsidR="004A4467">
        <w:rPr>
          <w:rFonts w:ascii="Verdana" w:hAnsi="Verdana"/>
          <w:lang w:val="en-GB"/>
        </w:rPr>
        <w:t xml:space="preserve"> to match the </w:t>
      </w:r>
      <w:r w:rsidR="00282AFD">
        <w:rPr>
          <w:rFonts w:ascii="Verdana" w:hAnsi="Verdana"/>
          <w:lang w:val="en-GB"/>
        </w:rPr>
        <w:t xml:space="preserve">higher regulatory standards for lowering CO2 emissions, </w:t>
      </w:r>
      <w:r w:rsidR="00282AFD" w:rsidRPr="002E2172">
        <w:rPr>
          <w:rFonts w:ascii="Verdana" w:hAnsi="Verdana"/>
          <w:lang w:val="en-GB"/>
        </w:rPr>
        <w:t>enhancing energy efficiency, and the overall greening of vessels</w:t>
      </w:r>
      <w:r w:rsidR="00282AFD">
        <w:rPr>
          <w:rFonts w:ascii="Verdana" w:hAnsi="Verdana"/>
          <w:lang w:val="en-GB"/>
        </w:rPr>
        <w:t xml:space="preserve">. </w:t>
      </w:r>
      <w:r w:rsidR="00282AFD" w:rsidRPr="002E2172">
        <w:rPr>
          <w:rFonts w:ascii="Verdana" w:hAnsi="Verdana"/>
          <w:lang w:val="en-GB"/>
        </w:rPr>
        <w:t xml:space="preserve">The expansion of the EU list to non-OECD countries is particularly important, as the greening of the EU fleet, driven by the Fit for 55 Package, IMO CII/EXXI regulations, and the decommissioning of oil and gas installations in the North Sea, will significantly increase the number of vessels requiring recycling in the coming decade. With current capacity, vessels remain in service longer than intended, delaying the fleet renewal and decarbonisation goals mandated by the Fit for 55 Package. </w:t>
      </w:r>
      <w:r w:rsidR="00DA0988">
        <w:rPr>
          <w:rFonts w:ascii="Verdana" w:hAnsi="Verdana"/>
          <w:lang w:val="en-GB"/>
        </w:rPr>
        <w:t>In fact, BIMCO estimates that over 15,000</w:t>
      </w:r>
      <w:r w:rsidR="00475BCC">
        <w:rPr>
          <w:rFonts w:ascii="Verdana" w:hAnsi="Verdana"/>
          <w:lang w:val="en-GB"/>
        </w:rPr>
        <w:t xml:space="preserve"> vessels will need to be recycled in the next decade which is more than twice the amount recycled in the previous ten years</w:t>
      </w:r>
      <w:r w:rsidR="00475BCC">
        <w:rPr>
          <w:rStyle w:val="FootnoteReference"/>
          <w:rFonts w:ascii="Verdana" w:hAnsi="Verdana"/>
          <w:lang w:val="en-GB"/>
        </w:rPr>
        <w:footnoteReference w:id="2"/>
      </w:r>
      <w:r w:rsidR="00475BCC">
        <w:rPr>
          <w:rFonts w:ascii="Verdana" w:hAnsi="Verdana"/>
          <w:lang w:val="en-GB"/>
        </w:rPr>
        <w:t xml:space="preserve">. </w:t>
      </w:r>
      <w:r w:rsidR="00282AFD" w:rsidRPr="002E2172">
        <w:rPr>
          <w:rFonts w:ascii="Verdana" w:hAnsi="Verdana"/>
          <w:lang w:val="en-GB"/>
        </w:rPr>
        <w:t>Addressing the capacity issue is, therefore, crucial for the European shipping industry’s compliance with environmental regulations and its commitment to sustainable practices.</w:t>
      </w:r>
      <w:r w:rsidR="00282AFD">
        <w:rPr>
          <w:rFonts w:ascii="Verdana" w:hAnsi="Verdana"/>
          <w:lang w:val="en-GB"/>
        </w:rPr>
        <w:t xml:space="preserve"> </w:t>
      </w:r>
    </w:p>
    <w:p w14:paraId="45735871" w14:textId="77777777" w:rsidR="00EA4BAE" w:rsidRDefault="00EA4BAE" w:rsidP="00767C33">
      <w:pPr>
        <w:jc w:val="both"/>
        <w:rPr>
          <w:rFonts w:ascii="Verdana" w:hAnsi="Verdana"/>
          <w:lang w:val="en-GB"/>
        </w:rPr>
      </w:pPr>
    </w:p>
    <w:p w14:paraId="37052A57" w14:textId="77777777" w:rsidR="00EA4BAE" w:rsidRDefault="00EA4BAE" w:rsidP="00767C33">
      <w:pPr>
        <w:jc w:val="both"/>
        <w:rPr>
          <w:rFonts w:ascii="Verdana" w:hAnsi="Verdana"/>
          <w:lang w:val="en-GB"/>
        </w:rPr>
      </w:pPr>
    </w:p>
    <w:p w14:paraId="54A143CE" w14:textId="4598E5EE" w:rsidR="00EE3D04" w:rsidRPr="002E2172" w:rsidRDefault="00981C5A" w:rsidP="00EE3D04">
      <w:pPr>
        <w:rPr>
          <w:rFonts w:ascii="Verdana" w:hAnsi="Verdana"/>
          <w:b/>
          <w:bCs/>
          <w:lang w:val="en-GB"/>
        </w:rPr>
      </w:pPr>
      <w:r w:rsidRPr="002E2172">
        <w:rPr>
          <w:rFonts w:ascii="Verdana" w:hAnsi="Verdana"/>
          <w:b/>
          <w:bCs/>
          <w:lang w:val="en-GB"/>
        </w:rPr>
        <w:lastRenderedPageBreak/>
        <w:t>Incentive scheme</w:t>
      </w:r>
      <w:r w:rsidR="005C791A">
        <w:rPr>
          <w:rFonts w:ascii="Verdana" w:hAnsi="Verdana"/>
          <w:b/>
          <w:bCs/>
          <w:lang w:val="en-GB"/>
        </w:rPr>
        <w:t>s</w:t>
      </w:r>
      <w:r w:rsidRPr="002E2172">
        <w:rPr>
          <w:rFonts w:ascii="Verdana" w:hAnsi="Verdana"/>
          <w:b/>
          <w:bCs/>
          <w:lang w:val="en-GB"/>
        </w:rPr>
        <w:t xml:space="preserve"> </w:t>
      </w:r>
      <w:r w:rsidR="00C40245" w:rsidRPr="006C126E">
        <w:rPr>
          <w:rFonts w:ascii="Verdana" w:hAnsi="Verdana"/>
          <w:b/>
          <w:bCs/>
          <w:lang w:val="en-GB"/>
        </w:rPr>
        <w:t>would not be fit for purpose</w:t>
      </w:r>
    </w:p>
    <w:p w14:paraId="49B31106" w14:textId="1463DD3B" w:rsidR="00EE3D04" w:rsidRDefault="00EE3D04" w:rsidP="00EE3D04">
      <w:pPr>
        <w:jc w:val="both"/>
        <w:rPr>
          <w:rFonts w:ascii="Verdana" w:hAnsi="Verdana"/>
          <w:lang w:val="en-GB"/>
        </w:rPr>
      </w:pPr>
      <w:r w:rsidRPr="00866982">
        <w:rPr>
          <w:rFonts w:ascii="Verdana" w:hAnsi="Verdana"/>
          <w:lang w:val="en-GB"/>
        </w:rPr>
        <w:t>In November 2024, the European Commission is expected to</w:t>
      </w:r>
      <w:r w:rsidR="003761B2">
        <w:rPr>
          <w:rFonts w:ascii="Verdana" w:hAnsi="Verdana"/>
          <w:lang w:val="en-GB"/>
        </w:rPr>
        <w:t xml:space="preserve"> publish</w:t>
      </w:r>
      <w:r w:rsidRPr="00866982">
        <w:rPr>
          <w:rFonts w:ascii="Verdana" w:hAnsi="Verdana"/>
          <w:lang w:val="en-GB"/>
        </w:rPr>
        <w:t xml:space="preserve"> a comprehensive evaluation of</w:t>
      </w:r>
      <w:r w:rsidR="00A66F33">
        <w:rPr>
          <w:rFonts w:ascii="Verdana" w:hAnsi="Verdana"/>
          <w:lang w:val="en-GB"/>
        </w:rPr>
        <w:t xml:space="preserve"> EU SRR</w:t>
      </w:r>
      <w:r w:rsidRPr="00866982">
        <w:rPr>
          <w:rFonts w:ascii="Verdana" w:hAnsi="Verdana"/>
          <w:lang w:val="en-GB"/>
        </w:rPr>
        <w:t>, providing the groundwork for a revision of the regulation</w:t>
      </w:r>
      <w:r w:rsidR="00BC1A59">
        <w:rPr>
          <w:rFonts w:ascii="Verdana" w:hAnsi="Verdana"/>
          <w:lang w:val="en-GB"/>
        </w:rPr>
        <w:t xml:space="preserve"> in</w:t>
      </w:r>
      <w:r w:rsidR="00BC1A59" w:rsidRPr="00866982" w:rsidDel="00BC1A59">
        <w:rPr>
          <w:rFonts w:ascii="Verdana" w:hAnsi="Verdana"/>
          <w:lang w:val="en-GB"/>
        </w:rPr>
        <w:t xml:space="preserve"> </w:t>
      </w:r>
      <w:r w:rsidRPr="00866982">
        <w:rPr>
          <w:rFonts w:ascii="Verdana" w:hAnsi="Verdana"/>
          <w:lang w:val="en-GB"/>
        </w:rPr>
        <w:t>2025.</w:t>
      </w:r>
      <w:r>
        <w:rPr>
          <w:rFonts w:ascii="Verdana" w:hAnsi="Verdana"/>
          <w:lang w:val="en-GB"/>
        </w:rPr>
        <w:t xml:space="preserve">  </w:t>
      </w:r>
      <w:r w:rsidRPr="00866982">
        <w:rPr>
          <w:rFonts w:ascii="Verdana" w:hAnsi="Verdana"/>
          <w:lang w:val="en-GB"/>
        </w:rPr>
        <w:t>In addition to assessing current measures, the Commission is expected to consider new elements, such as ship recycling licences and incentive schemes, which are viewed as</w:t>
      </w:r>
      <w:r w:rsidR="00BC1A59">
        <w:rPr>
          <w:rFonts w:ascii="Verdana" w:hAnsi="Verdana"/>
          <w:lang w:val="en-GB"/>
        </w:rPr>
        <w:t xml:space="preserve"> highly</w:t>
      </w:r>
      <w:r w:rsidRPr="00866982">
        <w:rPr>
          <w:rFonts w:ascii="Verdana" w:hAnsi="Verdana"/>
          <w:lang w:val="en-GB"/>
        </w:rPr>
        <w:t xml:space="preserve"> problematic by the shipping industry</w:t>
      </w:r>
      <w:r>
        <w:rPr>
          <w:rFonts w:ascii="Verdana" w:hAnsi="Verdana"/>
          <w:lang w:val="en-GB"/>
        </w:rPr>
        <w:t xml:space="preserve">. </w:t>
      </w:r>
    </w:p>
    <w:p w14:paraId="45FC19D2" w14:textId="05AD62B1" w:rsidR="00780136" w:rsidRDefault="00792D6D" w:rsidP="003F48F9">
      <w:pPr>
        <w:jc w:val="both"/>
        <w:rPr>
          <w:rFonts w:ascii="Verdana" w:hAnsi="Verdana"/>
          <w:lang w:val="en-GB"/>
        </w:rPr>
      </w:pPr>
      <w:r>
        <w:rPr>
          <w:rFonts w:ascii="Verdana" w:hAnsi="Verdana"/>
          <w:lang w:val="en-GB"/>
        </w:rPr>
        <w:t>A</w:t>
      </w:r>
      <w:r w:rsidR="00E048A8">
        <w:rPr>
          <w:rFonts w:ascii="Verdana" w:hAnsi="Verdana"/>
          <w:lang w:val="en-GB"/>
        </w:rPr>
        <w:t>ccording to a study the</w:t>
      </w:r>
      <w:r w:rsidR="0049025B">
        <w:rPr>
          <w:rFonts w:ascii="Verdana" w:hAnsi="Verdana"/>
          <w:lang w:val="en-GB"/>
        </w:rPr>
        <w:t xml:space="preserve"> </w:t>
      </w:r>
      <w:r w:rsidR="00EE3D04" w:rsidRPr="00AC0D9B">
        <w:rPr>
          <w:rFonts w:ascii="Verdana" w:hAnsi="Verdana"/>
          <w:lang w:val="en-GB"/>
        </w:rPr>
        <w:t xml:space="preserve">"Ship Recycling Licence" scheme </w:t>
      </w:r>
      <w:r>
        <w:rPr>
          <w:rFonts w:ascii="Verdana" w:hAnsi="Verdana"/>
          <w:lang w:val="en-GB"/>
        </w:rPr>
        <w:t>would</w:t>
      </w:r>
      <w:r w:rsidRPr="00AC0D9B">
        <w:rPr>
          <w:rFonts w:ascii="Verdana" w:hAnsi="Verdana"/>
          <w:lang w:val="en-GB"/>
        </w:rPr>
        <w:t xml:space="preserve"> </w:t>
      </w:r>
      <w:r w:rsidR="00EE3D04" w:rsidRPr="00AC0D9B">
        <w:rPr>
          <w:rFonts w:ascii="Verdana" w:hAnsi="Verdana"/>
          <w:lang w:val="en-GB"/>
        </w:rPr>
        <w:t>require ships calling at EU ports to obtain a licence, with fees going towards a fund to bridge the cost gap between</w:t>
      </w:r>
      <w:r w:rsidR="00FD5D3F">
        <w:rPr>
          <w:rFonts w:ascii="Verdana" w:hAnsi="Verdana"/>
          <w:lang w:val="en-GB"/>
        </w:rPr>
        <w:t xml:space="preserve"> recycling costs </w:t>
      </w:r>
      <w:r w:rsidR="00BC1A59">
        <w:rPr>
          <w:rFonts w:ascii="Verdana" w:hAnsi="Verdana"/>
          <w:lang w:val="en-GB"/>
        </w:rPr>
        <w:t>of yards included in the</w:t>
      </w:r>
      <w:r w:rsidR="00FD5D3F">
        <w:rPr>
          <w:rFonts w:ascii="Verdana" w:hAnsi="Verdana"/>
          <w:lang w:val="en-GB"/>
        </w:rPr>
        <w:t xml:space="preserve"> EU SRR list and non-EU SRR list facilities</w:t>
      </w:r>
      <w:r w:rsidR="00D62172">
        <w:rPr>
          <w:rStyle w:val="FootnoteReference"/>
          <w:rFonts w:ascii="Verdana" w:hAnsi="Verdana"/>
          <w:lang w:val="en-GB"/>
        </w:rPr>
        <w:footnoteReference w:id="3"/>
      </w:r>
      <w:r w:rsidR="00FD5D3F">
        <w:rPr>
          <w:rFonts w:ascii="Verdana" w:hAnsi="Verdana"/>
          <w:lang w:val="en-GB"/>
        </w:rPr>
        <w:t xml:space="preserve">. </w:t>
      </w:r>
      <w:r w:rsidR="002D0D73">
        <w:rPr>
          <w:rFonts w:ascii="Verdana" w:hAnsi="Verdana"/>
          <w:lang w:val="en-GB"/>
        </w:rPr>
        <w:t xml:space="preserve">This scheme would oblige shipowners to recycle at recycling yards on the EU SRR list if they do not want to </w:t>
      </w:r>
      <w:r w:rsidR="00BC1A59">
        <w:rPr>
          <w:rFonts w:ascii="Verdana" w:hAnsi="Verdana"/>
          <w:lang w:val="en-GB"/>
        </w:rPr>
        <w:t>pay the fee</w:t>
      </w:r>
      <w:r w:rsidR="002D0D73">
        <w:rPr>
          <w:rFonts w:ascii="Verdana" w:hAnsi="Verdana"/>
          <w:lang w:val="en-GB"/>
        </w:rPr>
        <w:t xml:space="preserve">. </w:t>
      </w:r>
    </w:p>
    <w:p w14:paraId="0FC8BD40" w14:textId="1ED3EEBB" w:rsidR="00BC0A9D" w:rsidRDefault="002D0D73" w:rsidP="003F48F9">
      <w:pPr>
        <w:jc w:val="both"/>
        <w:rPr>
          <w:rFonts w:ascii="Verdana" w:hAnsi="Verdana"/>
          <w:lang w:val="en-GB"/>
        </w:rPr>
      </w:pPr>
      <w:r>
        <w:rPr>
          <w:rFonts w:ascii="Verdana" w:hAnsi="Verdana"/>
          <w:lang w:val="en-GB"/>
        </w:rPr>
        <w:t>The scheme’s complexity</w:t>
      </w:r>
      <w:r w:rsidR="00633980">
        <w:rPr>
          <w:rFonts w:ascii="Verdana" w:hAnsi="Verdana"/>
          <w:lang w:val="en-GB"/>
        </w:rPr>
        <w:t>,</w:t>
      </w:r>
      <w:r>
        <w:rPr>
          <w:rFonts w:ascii="Verdana" w:hAnsi="Verdana"/>
          <w:lang w:val="en-GB"/>
        </w:rPr>
        <w:t xml:space="preserve"> especially the creation of new EU agencies and oversight bodies </w:t>
      </w:r>
      <w:r w:rsidR="00633980">
        <w:rPr>
          <w:rFonts w:ascii="Verdana" w:hAnsi="Verdana"/>
          <w:lang w:val="en-GB"/>
        </w:rPr>
        <w:t xml:space="preserve">to enforce the </w:t>
      </w:r>
      <w:r w:rsidR="00073FFE">
        <w:rPr>
          <w:rFonts w:ascii="Verdana" w:hAnsi="Verdana"/>
          <w:lang w:val="en-GB"/>
        </w:rPr>
        <w:t>licence</w:t>
      </w:r>
      <w:r>
        <w:rPr>
          <w:rFonts w:ascii="Verdana" w:hAnsi="Verdana"/>
          <w:lang w:val="en-GB"/>
        </w:rPr>
        <w:t xml:space="preserve"> raises concerns about added cost and bureaucracy.</w:t>
      </w:r>
      <w:r w:rsidR="00780136">
        <w:rPr>
          <w:rFonts w:ascii="Verdana" w:hAnsi="Verdana"/>
          <w:lang w:val="en-GB"/>
        </w:rPr>
        <w:t xml:space="preserve"> </w:t>
      </w:r>
      <w:r>
        <w:rPr>
          <w:rFonts w:ascii="Verdana" w:hAnsi="Verdana"/>
          <w:lang w:val="en-GB"/>
        </w:rPr>
        <w:t>Additionally, a 15-18 year transition period would be necessary to give existing ships enough time to build up the necessary funds to cover this price difference</w:t>
      </w:r>
      <w:r w:rsidR="00012A61">
        <w:rPr>
          <w:rFonts w:ascii="Verdana" w:hAnsi="Verdana"/>
          <w:lang w:val="en-GB"/>
        </w:rPr>
        <w:t xml:space="preserve"> that can be difficult to estimate over time. </w:t>
      </w:r>
      <w:r>
        <w:rPr>
          <w:rFonts w:ascii="Verdana" w:hAnsi="Verdana"/>
          <w:lang w:val="en-GB"/>
        </w:rPr>
        <w:t xml:space="preserve">  </w:t>
      </w:r>
    </w:p>
    <w:p w14:paraId="13D7C358" w14:textId="3A4BC393" w:rsidR="00FD5D3F" w:rsidRPr="006C126E" w:rsidRDefault="003F48F9" w:rsidP="00EE3D04">
      <w:pPr>
        <w:jc w:val="both"/>
        <w:rPr>
          <w:rFonts w:ascii="Verdana" w:hAnsi="Verdana"/>
          <w:lang w:val="en-GB"/>
        </w:rPr>
      </w:pPr>
      <w:r>
        <w:rPr>
          <w:rFonts w:ascii="Verdana" w:hAnsi="Verdana"/>
          <w:lang w:val="en-GB"/>
        </w:rPr>
        <w:t xml:space="preserve">ECSA </w:t>
      </w:r>
      <w:r w:rsidR="00A332FC">
        <w:rPr>
          <w:rFonts w:ascii="Verdana" w:hAnsi="Verdana"/>
          <w:lang w:val="en-GB"/>
        </w:rPr>
        <w:t>believes</w:t>
      </w:r>
      <w:r>
        <w:rPr>
          <w:rFonts w:ascii="Verdana" w:hAnsi="Verdana"/>
          <w:lang w:val="en-GB"/>
        </w:rPr>
        <w:t xml:space="preserve"> </w:t>
      </w:r>
      <w:r w:rsidRPr="006C126E">
        <w:rPr>
          <w:rFonts w:ascii="Verdana" w:hAnsi="Verdana"/>
          <w:lang w:val="en-GB"/>
        </w:rPr>
        <w:t>that</w:t>
      </w:r>
      <w:r w:rsidR="00BC0A9D">
        <w:rPr>
          <w:rFonts w:ascii="Verdana" w:hAnsi="Verdana"/>
          <w:lang w:val="en-GB"/>
        </w:rPr>
        <w:t xml:space="preserve"> </w:t>
      </w:r>
      <w:r>
        <w:rPr>
          <w:rFonts w:ascii="Verdana" w:hAnsi="Verdana"/>
          <w:lang w:val="en-GB"/>
        </w:rPr>
        <w:t>the</w:t>
      </w:r>
      <w:r w:rsidR="00BC0A9D">
        <w:rPr>
          <w:rFonts w:ascii="Verdana" w:hAnsi="Verdana"/>
          <w:lang w:val="en-GB"/>
        </w:rPr>
        <w:t xml:space="preserve"> upcoming</w:t>
      </w:r>
      <w:r w:rsidRPr="006C126E">
        <w:rPr>
          <w:rFonts w:ascii="Verdana" w:hAnsi="Verdana"/>
          <w:lang w:val="en-GB"/>
        </w:rPr>
        <w:t xml:space="preserve"> entry into force of the</w:t>
      </w:r>
      <w:r>
        <w:rPr>
          <w:rFonts w:ascii="Verdana" w:hAnsi="Verdana"/>
          <w:lang w:val="en-GB"/>
        </w:rPr>
        <w:t xml:space="preserve"> HKC</w:t>
      </w:r>
      <w:r w:rsidRPr="006C126E">
        <w:rPr>
          <w:rFonts w:ascii="Verdana" w:hAnsi="Verdana"/>
          <w:lang w:val="en-GB"/>
        </w:rPr>
        <w:t xml:space="preserve"> will render a financial instrument and fund under the EU Regulation redundant, since </w:t>
      </w:r>
      <w:r w:rsidR="00BC0A9D">
        <w:rPr>
          <w:rFonts w:ascii="Verdana" w:hAnsi="Verdana"/>
          <w:lang w:val="en-GB"/>
        </w:rPr>
        <w:t xml:space="preserve">it </w:t>
      </w:r>
      <w:r w:rsidRPr="006C126E">
        <w:rPr>
          <w:rFonts w:ascii="Verdana" w:hAnsi="Verdana"/>
          <w:lang w:val="en-GB"/>
        </w:rPr>
        <w:t xml:space="preserve">will establish a worldwide transparent system of standards and compliance for shipowners and ship recyclers alike. </w:t>
      </w:r>
      <w:r w:rsidR="0077476B" w:rsidRPr="00866982">
        <w:rPr>
          <w:rFonts w:ascii="Verdana" w:hAnsi="Verdana"/>
          <w:lang w:val="en-GB"/>
        </w:rPr>
        <w:t xml:space="preserve">ECSA </w:t>
      </w:r>
      <w:r w:rsidR="0077476B">
        <w:rPr>
          <w:rFonts w:ascii="Verdana" w:hAnsi="Verdana"/>
          <w:lang w:val="en-GB"/>
        </w:rPr>
        <w:t>therefore</w:t>
      </w:r>
      <w:r w:rsidR="00BC0A9D">
        <w:rPr>
          <w:rFonts w:ascii="Verdana" w:hAnsi="Verdana"/>
          <w:lang w:val="en-GB"/>
        </w:rPr>
        <w:t xml:space="preserve"> considers that </w:t>
      </w:r>
      <w:r>
        <w:rPr>
          <w:rFonts w:ascii="Verdana" w:hAnsi="Verdana"/>
          <w:lang w:val="en-GB"/>
        </w:rPr>
        <w:t xml:space="preserve">the </w:t>
      </w:r>
      <w:r w:rsidRPr="00866982">
        <w:rPr>
          <w:rFonts w:ascii="Verdana" w:hAnsi="Verdana"/>
          <w:lang w:val="en-GB"/>
        </w:rPr>
        <w:t>financial gap between</w:t>
      </w:r>
      <w:r>
        <w:rPr>
          <w:rFonts w:ascii="Verdana" w:hAnsi="Verdana"/>
          <w:lang w:val="en-GB"/>
        </w:rPr>
        <w:t xml:space="preserve"> ship recycling facilities is due to </w:t>
      </w:r>
      <w:proofErr w:type="gramStart"/>
      <w:r>
        <w:rPr>
          <w:rFonts w:ascii="Verdana" w:hAnsi="Verdana"/>
          <w:lang w:val="en-GB"/>
        </w:rPr>
        <w:t>a number of</w:t>
      </w:r>
      <w:proofErr w:type="gramEnd"/>
      <w:r>
        <w:rPr>
          <w:rFonts w:ascii="Verdana" w:hAnsi="Verdana"/>
          <w:lang w:val="en-GB"/>
        </w:rPr>
        <w:t xml:space="preserve"> factors and that an incentive scheme would not be fit for purpose. </w:t>
      </w:r>
    </w:p>
    <w:p w14:paraId="16631EAC" w14:textId="01960968" w:rsidR="00FC0161" w:rsidRDefault="00FC0161" w:rsidP="00556CFC">
      <w:pPr>
        <w:jc w:val="both"/>
        <w:rPr>
          <w:rFonts w:ascii="Verdana" w:hAnsi="Verdana"/>
          <w:b/>
          <w:bCs/>
          <w:lang w:val="en-GB"/>
        </w:rPr>
      </w:pPr>
      <w:r w:rsidRPr="00CC2EEC">
        <w:rPr>
          <w:rFonts w:ascii="Verdana" w:hAnsi="Verdana"/>
          <w:b/>
          <w:bCs/>
          <w:lang w:val="en-GB"/>
        </w:rPr>
        <w:t>Conclusion</w:t>
      </w:r>
    </w:p>
    <w:p w14:paraId="68EC37DF" w14:textId="270C3724" w:rsidR="00D70D95" w:rsidRDefault="008756E2" w:rsidP="00AD1408">
      <w:pPr>
        <w:jc w:val="both"/>
        <w:rPr>
          <w:rFonts w:ascii="Verdana" w:hAnsi="Verdana"/>
          <w:lang w:val="en-GB"/>
        </w:rPr>
      </w:pPr>
      <w:r>
        <w:rPr>
          <w:rFonts w:ascii="Verdana" w:hAnsi="Verdana"/>
          <w:lang w:val="en-GB"/>
        </w:rPr>
        <w:t xml:space="preserve">Considering a revision of the HKC requirements </w:t>
      </w:r>
      <w:r w:rsidR="00741C88">
        <w:rPr>
          <w:rFonts w:ascii="Verdana" w:hAnsi="Verdana"/>
          <w:lang w:val="en-GB"/>
        </w:rPr>
        <w:t xml:space="preserve">is essential to ensuring </w:t>
      </w:r>
      <w:r>
        <w:rPr>
          <w:rFonts w:ascii="Verdana" w:hAnsi="Verdana"/>
          <w:lang w:val="en-GB"/>
        </w:rPr>
        <w:t>global standards for safe and environmentally sound ship recycling</w:t>
      </w:r>
      <w:r w:rsidR="00741C88">
        <w:rPr>
          <w:rFonts w:ascii="Verdana" w:hAnsi="Verdana"/>
          <w:lang w:val="en-GB"/>
        </w:rPr>
        <w:t xml:space="preserve">. </w:t>
      </w:r>
      <w:r w:rsidR="00057036" w:rsidRPr="00CC2EEC">
        <w:rPr>
          <w:rFonts w:ascii="Verdana" w:hAnsi="Verdana"/>
          <w:lang w:val="en-GB"/>
        </w:rPr>
        <w:t xml:space="preserve">ECSA remains committed to supporting these efforts and urges the European </w:t>
      </w:r>
      <w:r w:rsidR="00884C86" w:rsidRPr="00884C86">
        <w:rPr>
          <w:rFonts w:ascii="Verdana" w:hAnsi="Verdana"/>
          <w:lang w:val="en-GB"/>
        </w:rPr>
        <w:t>Commission</w:t>
      </w:r>
      <w:r w:rsidR="00884C86">
        <w:rPr>
          <w:rFonts w:ascii="Verdana" w:hAnsi="Verdana"/>
          <w:lang w:val="en-GB"/>
        </w:rPr>
        <w:t xml:space="preserve"> </w:t>
      </w:r>
      <w:r w:rsidR="00884C86" w:rsidRPr="00884C86">
        <w:rPr>
          <w:rFonts w:ascii="Verdana" w:hAnsi="Verdana"/>
          <w:lang w:val="en-GB"/>
        </w:rPr>
        <w:t>to</w:t>
      </w:r>
      <w:r w:rsidR="00FC29FB">
        <w:rPr>
          <w:rFonts w:ascii="Verdana" w:hAnsi="Verdana"/>
          <w:lang w:val="en-GB"/>
        </w:rPr>
        <w:t xml:space="preserve"> work towards </w:t>
      </w:r>
      <w:r w:rsidR="00FC29FB" w:rsidRPr="00556CFC">
        <w:rPr>
          <w:rFonts w:ascii="Verdana" w:hAnsi="Verdana"/>
          <w:lang w:val="en-GB"/>
        </w:rPr>
        <w:t>strengthening</w:t>
      </w:r>
      <w:r w:rsidR="006C126E">
        <w:rPr>
          <w:rFonts w:ascii="Verdana" w:hAnsi="Verdana"/>
          <w:lang w:val="en-GB"/>
        </w:rPr>
        <w:t xml:space="preserve"> </w:t>
      </w:r>
      <w:r w:rsidR="00FC29FB" w:rsidRPr="00556CFC">
        <w:rPr>
          <w:rFonts w:ascii="Verdana" w:hAnsi="Verdana"/>
          <w:lang w:val="en-GB"/>
        </w:rPr>
        <w:t>HKC's requirements rather than introducing additional stringent criteria in the EU SRR</w:t>
      </w:r>
      <w:r w:rsidR="00FC29FB">
        <w:rPr>
          <w:rFonts w:ascii="Verdana" w:hAnsi="Verdana"/>
          <w:lang w:val="en-GB"/>
        </w:rPr>
        <w:t xml:space="preserve"> to ensure </w:t>
      </w:r>
      <w:r w:rsidR="00915361">
        <w:rPr>
          <w:rFonts w:ascii="Verdana" w:hAnsi="Verdana"/>
          <w:lang w:val="en-GB"/>
        </w:rPr>
        <w:t xml:space="preserve">a global level-playing field. </w:t>
      </w:r>
      <w:r w:rsidR="00432A25">
        <w:rPr>
          <w:rFonts w:ascii="Verdana" w:hAnsi="Verdana"/>
          <w:lang w:val="en-GB"/>
        </w:rPr>
        <w:t xml:space="preserve">Facilitating the inclusion </w:t>
      </w:r>
      <w:r w:rsidR="00047721">
        <w:rPr>
          <w:rFonts w:ascii="Verdana" w:hAnsi="Verdana"/>
          <w:lang w:val="en-GB"/>
        </w:rPr>
        <w:t>non</w:t>
      </w:r>
      <w:r w:rsidR="005D6A1E">
        <w:rPr>
          <w:rFonts w:ascii="Verdana" w:hAnsi="Verdana"/>
          <w:lang w:val="en-GB"/>
        </w:rPr>
        <w:t>-OECD yards on the EU SRR list will help addressing the current capacity challenges while promoting</w:t>
      </w:r>
      <w:r w:rsidR="00566C98">
        <w:rPr>
          <w:rFonts w:ascii="Verdana" w:hAnsi="Verdana"/>
          <w:lang w:val="en-GB"/>
        </w:rPr>
        <w:t xml:space="preserve"> </w:t>
      </w:r>
      <w:r w:rsidR="00566C98" w:rsidRPr="000969CA">
        <w:rPr>
          <w:rFonts w:ascii="Verdana" w:hAnsi="Verdana"/>
          <w:lang w:val="en-GB"/>
        </w:rPr>
        <w:t>safe, environmentally responsible ship recycling on a global scale</w:t>
      </w:r>
      <w:r w:rsidR="00566C98">
        <w:rPr>
          <w:rFonts w:ascii="Verdana" w:hAnsi="Verdana"/>
          <w:lang w:val="en-GB"/>
        </w:rPr>
        <w:t xml:space="preserve">. </w:t>
      </w:r>
      <w:r w:rsidR="00F01F98" w:rsidRPr="006C126E">
        <w:rPr>
          <w:rFonts w:ascii="Verdana" w:hAnsi="Verdana"/>
          <w:lang w:val="en-GB"/>
        </w:rPr>
        <w:t>Finally, ECSA believes that the entry into force of the HKC will make a financial instrument and fund under the EU SRR, aimed at bridging the financial gap between ship recycling yards on the EU SRR list</w:t>
      </w:r>
      <w:r w:rsidR="00102498">
        <w:rPr>
          <w:rFonts w:ascii="Verdana" w:hAnsi="Verdana"/>
          <w:lang w:val="en-GB"/>
        </w:rPr>
        <w:t xml:space="preserve"> and non-SRR list facilities</w:t>
      </w:r>
      <w:r w:rsidR="00F01F98" w:rsidRPr="006C126E">
        <w:rPr>
          <w:rFonts w:ascii="Verdana" w:hAnsi="Verdana"/>
          <w:lang w:val="en-GB"/>
        </w:rPr>
        <w:t>, redundant. This is because the HKC will establish a global, transparent system of standards and compliance for shipowners</w:t>
      </w:r>
      <w:r w:rsidR="007B7596">
        <w:rPr>
          <w:rFonts w:ascii="Verdana" w:hAnsi="Verdana"/>
          <w:lang w:val="en-GB"/>
        </w:rPr>
        <w:t>.</w:t>
      </w:r>
    </w:p>
    <w:sectPr w:rsidR="00D70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0DE09" w14:textId="77777777" w:rsidR="00DA57C4" w:rsidRDefault="00DA57C4" w:rsidP="006E430F">
      <w:pPr>
        <w:spacing w:after="0" w:line="240" w:lineRule="auto"/>
      </w:pPr>
      <w:r>
        <w:separator/>
      </w:r>
    </w:p>
  </w:endnote>
  <w:endnote w:type="continuationSeparator" w:id="0">
    <w:p w14:paraId="2C24B4A2" w14:textId="77777777" w:rsidR="00DA57C4" w:rsidRDefault="00DA57C4" w:rsidP="006E430F">
      <w:pPr>
        <w:spacing w:after="0" w:line="240" w:lineRule="auto"/>
      </w:pPr>
      <w:r>
        <w:continuationSeparator/>
      </w:r>
    </w:p>
  </w:endnote>
  <w:endnote w:type="continuationNotice" w:id="1">
    <w:p w14:paraId="079511ED" w14:textId="77777777" w:rsidR="00DA57C4" w:rsidRDefault="00DA5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3CAA" w14:textId="77777777" w:rsidR="00DA57C4" w:rsidRDefault="00DA57C4" w:rsidP="006E430F">
      <w:pPr>
        <w:spacing w:after="0" w:line="240" w:lineRule="auto"/>
      </w:pPr>
      <w:r>
        <w:separator/>
      </w:r>
    </w:p>
  </w:footnote>
  <w:footnote w:type="continuationSeparator" w:id="0">
    <w:p w14:paraId="389EE30D" w14:textId="77777777" w:rsidR="00DA57C4" w:rsidRDefault="00DA57C4" w:rsidP="006E430F">
      <w:pPr>
        <w:spacing w:after="0" w:line="240" w:lineRule="auto"/>
      </w:pPr>
      <w:r>
        <w:continuationSeparator/>
      </w:r>
    </w:p>
  </w:footnote>
  <w:footnote w:type="continuationNotice" w:id="1">
    <w:p w14:paraId="3DB7884A" w14:textId="77777777" w:rsidR="00DA57C4" w:rsidRDefault="00DA57C4">
      <w:pPr>
        <w:spacing w:after="0" w:line="240" w:lineRule="auto"/>
      </w:pPr>
    </w:p>
  </w:footnote>
  <w:footnote w:id="2">
    <w:p w14:paraId="1590E0AA" w14:textId="469CF713" w:rsidR="00D62172" w:rsidRPr="006C126E" w:rsidRDefault="00475BCC" w:rsidP="00475BCC">
      <w:pPr>
        <w:pStyle w:val="FootnoteText"/>
        <w:rPr>
          <w:lang w:val="en-GB"/>
        </w:rPr>
      </w:pPr>
      <w:r>
        <w:rPr>
          <w:rStyle w:val="FootnoteReference"/>
        </w:rPr>
        <w:footnoteRef/>
      </w:r>
      <w:r w:rsidRPr="006A75B1">
        <w:rPr>
          <w:lang w:val="en-GB"/>
        </w:rPr>
        <w:t xml:space="preserve"> </w:t>
      </w:r>
      <w:hyperlink r:id="rId1" w:history="1">
        <w:r w:rsidRPr="006A75B1">
          <w:rPr>
            <w:rStyle w:val="Hyperlink"/>
            <w:lang w:val="en-GB"/>
          </w:rPr>
          <w:t xml:space="preserve">Over 15,000 ships could be recycled by 2032, up more than 100% on the ... </w:t>
        </w:r>
        <w:r w:rsidRPr="006C126E">
          <w:rPr>
            <w:rStyle w:val="Hyperlink"/>
            <w:lang w:val="en-GB"/>
          </w:rPr>
          <w:t>(bimco.org)</w:t>
        </w:r>
      </w:hyperlink>
    </w:p>
  </w:footnote>
  <w:footnote w:id="3">
    <w:p w14:paraId="7FC79EAD" w14:textId="021851B6" w:rsidR="00D62172" w:rsidRPr="006C126E" w:rsidRDefault="00D62172" w:rsidP="006C126E">
      <w:pPr>
        <w:jc w:val="both"/>
        <w:rPr>
          <w:rFonts w:ascii="Verdana" w:hAnsi="Verdana"/>
          <w:lang w:val="en-GB"/>
        </w:rPr>
      </w:pPr>
      <w:r>
        <w:rPr>
          <w:rStyle w:val="FootnoteReference"/>
        </w:rPr>
        <w:footnoteRef/>
      </w:r>
      <w:r w:rsidRPr="006C126E">
        <w:rPr>
          <w:lang w:val="en-GB"/>
        </w:rPr>
        <w:t xml:space="preserve"> </w:t>
      </w:r>
      <w:r w:rsidRPr="006A75B1">
        <w:rPr>
          <w:lang w:val="en-GB"/>
        </w:rPr>
        <w:t>Study by ECSA, A</w:t>
      </w:r>
      <w:r>
        <w:rPr>
          <w:lang w:val="en-GB"/>
        </w:rPr>
        <w:t xml:space="preserve">SA and ICS on the Final report of </w:t>
      </w:r>
      <w:proofErr w:type="spellStart"/>
      <w:r>
        <w:rPr>
          <w:lang w:val="en-GB"/>
        </w:rPr>
        <w:t>Ecorys</w:t>
      </w:r>
      <w:proofErr w:type="spellEnd"/>
      <w:r>
        <w:rPr>
          <w:lang w:val="en-GB"/>
        </w:rPr>
        <w:t xml:space="preserve"> and Erasmus School of Law and DNV GL on assessing the feasibility of a financial instrument to facilitate safe and environmentally sound ship recycling, 25 July 2016</w:t>
      </w:r>
    </w:p>
    <w:p w14:paraId="66BFC379" w14:textId="281F45CA" w:rsidR="00D62172" w:rsidRPr="006C126E" w:rsidRDefault="00D6217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51381"/>
    <w:multiLevelType w:val="hybridMultilevel"/>
    <w:tmpl w:val="E1E236B8"/>
    <w:lvl w:ilvl="0" w:tplc="7BD664E8">
      <w:start w:val="1"/>
      <w:numFmt w:val="bullet"/>
      <w:lvlText w:val="•"/>
      <w:lvlJc w:val="left"/>
      <w:pPr>
        <w:tabs>
          <w:tab w:val="num" w:pos="720"/>
        </w:tabs>
        <w:ind w:left="720" w:hanging="360"/>
      </w:pPr>
      <w:rPr>
        <w:rFonts w:ascii="Arial" w:hAnsi="Arial" w:hint="default"/>
      </w:rPr>
    </w:lvl>
    <w:lvl w:ilvl="1" w:tplc="8DB4B48A" w:tentative="1">
      <w:start w:val="1"/>
      <w:numFmt w:val="bullet"/>
      <w:lvlText w:val="•"/>
      <w:lvlJc w:val="left"/>
      <w:pPr>
        <w:tabs>
          <w:tab w:val="num" w:pos="1440"/>
        </w:tabs>
        <w:ind w:left="1440" w:hanging="360"/>
      </w:pPr>
      <w:rPr>
        <w:rFonts w:ascii="Arial" w:hAnsi="Arial" w:hint="default"/>
      </w:rPr>
    </w:lvl>
    <w:lvl w:ilvl="2" w:tplc="B83C88EE" w:tentative="1">
      <w:start w:val="1"/>
      <w:numFmt w:val="bullet"/>
      <w:lvlText w:val="•"/>
      <w:lvlJc w:val="left"/>
      <w:pPr>
        <w:tabs>
          <w:tab w:val="num" w:pos="2160"/>
        </w:tabs>
        <w:ind w:left="2160" w:hanging="360"/>
      </w:pPr>
      <w:rPr>
        <w:rFonts w:ascii="Arial" w:hAnsi="Arial" w:hint="default"/>
      </w:rPr>
    </w:lvl>
    <w:lvl w:ilvl="3" w:tplc="B65C8BE6" w:tentative="1">
      <w:start w:val="1"/>
      <w:numFmt w:val="bullet"/>
      <w:lvlText w:val="•"/>
      <w:lvlJc w:val="left"/>
      <w:pPr>
        <w:tabs>
          <w:tab w:val="num" w:pos="2880"/>
        </w:tabs>
        <w:ind w:left="2880" w:hanging="360"/>
      </w:pPr>
      <w:rPr>
        <w:rFonts w:ascii="Arial" w:hAnsi="Arial" w:hint="default"/>
      </w:rPr>
    </w:lvl>
    <w:lvl w:ilvl="4" w:tplc="8BE8EB2A" w:tentative="1">
      <w:start w:val="1"/>
      <w:numFmt w:val="bullet"/>
      <w:lvlText w:val="•"/>
      <w:lvlJc w:val="left"/>
      <w:pPr>
        <w:tabs>
          <w:tab w:val="num" w:pos="3600"/>
        </w:tabs>
        <w:ind w:left="3600" w:hanging="360"/>
      </w:pPr>
      <w:rPr>
        <w:rFonts w:ascii="Arial" w:hAnsi="Arial" w:hint="default"/>
      </w:rPr>
    </w:lvl>
    <w:lvl w:ilvl="5" w:tplc="642EB210" w:tentative="1">
      <w:start w:val="1"/>
      <w:numFmt w:val="bullet"/>
      <w:lvlText w:val="•"/>
      <w:lvlJc w:val="left"/>
      <w:pPr>
        <w:tabs>
          <w:tab w:val="num" w:pos="4320"/>
        </w:tabs>
        <w:ind w:left="4320" w:hanging="360"/>
      </w:pPr>
      <w:rPr>
        <w:rFonts w:ascii="Arial" w:hAnsi="Arial" w:hint="default"/>
      </w:rPr>
    </w:lvl>
    <w:lvl w:ilvl="6" w:tplc="9CB20522" w:tentative="1">
      <w:start w:val="1"/>
      <w:numFmt w:val="bullet"/>
      <w:lvlText w:val="•"/>
      <w:lvlJc w:val="left"/>
      <w:pPr>
        <w:tabs>
          <w:tab w:val="num" w:pos="5040"/>
        </w:tabs>
        <w:ind w:left="5040" w:hanging="360"/>
      </w:pPr>
      <w:rPr>
        <w:rFonts w:ascii="Arial" w:hAnsi="Arial" w:hint="default"/>
      </w:rPr>
    </w:lvl>
    <w:lvl w:ilvl="7" w:tplc="4370B58C" w:tentative="1">
      <w:start w:val="1"/>
      <w:numFmt w:val="bullet"/>
      <w:lvlText w:val="•"/>
      <w:lvlJc w:val="left"/>
      <w:pPr>
        <w:tabs>
          <w:tab w:val="num" w:pos="5760"/>
        </w:tabs>
        <w:ind w:left="5760" w:hanging="360"/>
      </w:pPr>
      <w:rPr>
        <w:rFonts w:ascii="Arial" w:hAnsi="Arial" w:hint="default"/>
      </w:rPr>
    </w:lvl>
    <w:lvl w:ilvl="8" w:tplc="4A202C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CA3BEA"/>
    <w:multiLevelType w:val="hybridMultilevel"/>
    <w:tmpl w:val="36C457E6"/>
    <w:lvl w:ilvl="0" w:tplc="7D8E37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101174">
    <w:abstractNumId w:val="1"/>
  </w:num>
  <w:num w:numId="2" w16cid:durableId="69889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D8"/>
    <w:rsid w:val="00002103"/>
    <w:rsid w:val="000070D1"/>
    <w:rsid w:val="00012A61"/>
    <w:rsid w:val="00014DC5"/>
    <w:rsid w:val="00020F93"/>
    <w:rsid w:val="00047721"/>
    <w:rsid w:val="00057036"/>
    <w:rsid w:val="000602C5"/>
    <w:rsid w:val="00060E9B"/>
    <w:rsid w:val="00066413"/>
    <w:rsid w:val="00073FFE"/>
    <w:rsid w:val="00074FB2"/>
    <w:rsid w:val="000806E0"/>
    <w:rsid w:val="00080B0A"/>
    <w:rsid w:val="000B01B1"/>
    <w:rsid w:val="000B43CE"/>
    <w:rsid w:val="000C6B87"/>
    <w:rsid w:val="000D5492"/>
    <w:rsid w:val="000E2BA8"/>
    <w:rsid w:val="000E5873"/>
    <w:rsid w:val="000E6E05"/>
    <w:rsid w:val="000F58E9"/>
    <w:rsid w:val="0010113F"/>
    <w:rsid w:val="00102498"/>
    <w:rsid w:val="001050AF"/>
    <w:rsid w:val="001201B6"/>
    <w:rsid w:val="00123625"/>
    <w:rsid w:val="001248C2"/>
    <w:rsid w:val="001642B0"/>
    <w:rsid w:val="001707DB"/>
    <w:rsid w:val="00175446"/>
    <w:rsid w:val="00175F89"/>
    <w:rsid w:val="001854AB"/>
    <w:rsid w:val="00186018"/>
    <w:rsid w:val="00187E41"/>
    <w:rsid w:val="00192116"/>
    <w:rsid w:val="00194709"/>
    <w:rsid w:val="00195ABB"/>
    <w:rsid w:val="001963BB"/>
    <w:rsid w:val="0019641B"/>
    <w:rsid w:val="001A62A6"/>
    <w:rsid w:val="001A63F8"/>
    <w:rsid w:val="001B0D88"/>
    <w:rsid w:val="001C20FF"/>
    <w:rsid w:val="001C2831"/>
    <w:rsid w:val="001C7D6B"/>
    <w:rsid w:val="001E3670"/>
    <w:rsid w:val="001E618E"/>
    <w:rsid w:val="001F257A"/>
    <w:rsid w:val="001F4890"/>
    <w:rsid w:val="0020693C"/>
    <w:rsid w:val="00243619"/>
    <w:rsid w:val="0024453B"/>
    <w:rsid w:val="0024516F"/>
    <w:rsid w:val="00250110"/>
    <w:rsid w:val="002528FE"/>
    <w:rsid w:val="00252AA8"/>
    <w:rsid w:val="002534D7"/>
    <w:rsid w:val="002547BD"/>
    <w:rsid w:val="00270EF5"/>
    <w:rsid w:val="00271F47"/>
    <w:rsid w:val="00272BA9"/>
    <w:rsid w:val="00276428"/>
    <w:rsid w:val="0028185B"/>
    <w:rsid w:val="00282AFD"/>
    <w:rsid w:val="002838AB"/>
    <w:rsid w:val="00287AEA"/>
    <w:rsid w:val="002959F6"/>
    <w:rsid w:val="002A7612"/>
    <w:rsid w:val="002B17A6"/>
    <w:rsid w:val="002D0D73"/>
    <w:rsid w:val="002D2E5F"/>
    <w:rsid w:val="002D3BC2"/>
    <w:rsid w:val="002E1A8F"/>
    <w:rsid w:val="002E2172"/>
    <w:rsid w:val="002E43BA"/>
    <w:rsid w:val="002E6676"/>
    <w:rsid w:val="002F66C2"/>
    <w:rsid w:val="0030380E"/>
    <w:rsid w:val="0030559A"/>
    <w:rsid w:val="00314E5A"/>
    <w:rsid w:val="00332CF5"/>
    <w:rsid w:val="0033371A"/>
    <w:rsid w:val="00337637"/>
    <w:rsid w:val="003454E9"/>
    <w:rsid w:val="00360B9C"/>
    <w:rsid w:val="003675BE"/>
    <w:rsid w:val="003761B2"/>
    <w:rsid w:val="003829D8"/>
    <w:rsid w:val="00386002"/>
    <w:rsid w:val="003A3F5A"/>
    <w:rsid w:val="003C0AC1"/>
    <w:rsid w:val="003C2794"/>
    <w:rsid w:val="003D3B1E"/>
    <w:rsid w:val="003D3D9C"/>
    <w:rsid w:val="003F39FE"/>
    <w:rsid w:val="003F48F9"/>
    <w:rsid w:val="003F7717"/>
    <w:rsid w:val="004034AE"/>
    <w:rsid w:val="00404A97"/>
    <w:rsid w:val="00416B79"/>
    <w:rsid w:val="004177BF"/>
    <w:rsid w:val="00426DAB"/>
    <w:rsid w:val="00432A25"/>
    <w:rsid w:val="004340F3"/>
    <w:rsid w:val="00435D0F"/>
    <w:rsid w:val="0043646C"/>
    <w:rsid w:val="004529D8"/>
    <w:rsid w:val="004550BE"/>
    <w:rsid w:val="0047004A"/>
    <w:rsid w:val="0047234A"/>
    <w:rsid w:val="00473FE7"/>
    <w:rsid w:val="00475BCC"/>
    <w:rsid w:val="00476769"/>
    <w:rsid w:val="004875FE"/>
    <w:rsid w:val="0048772E"/>
    <w:rsid w:val="0049025B"/>
    <w:rsid w:val="0049273C"/>
    <w:rsid w:val="004A4467"/>
    <w:rsid w:val="004B0171"/>
    <w:rsid w:val="004B1A10"/>
    <w:rsid w:val="004B1AE3"/>
    <w:rsid w:val="004B45A6"/>
    <w:rsid w:val="004B6DAF"/>
    <w:rsid w:val="004C7FDD"/>
    <w:rsid w:val="004D3C6A"/>
    <w:rsid w:val="00505DA9"/>
    <w:rsid w:val="0050791B"/>
    <w:rsid w:val="00513690"/>
    <w:rsid w:val="005154A3"/>
    <w:rsid w:val="005168F5"/>
    <w:rsid w:val="005508DB"/>
    <w:rsid w:val="00555AEE"/>
    <w:rsid w:val="00556CFC"/>
    <w:rsid w:val="00560553"/>
    <w:rsid w:val="00561357"/>
    <w:rsid w:val="00566C98"/>
    <w:rsid w:val="00567E90"/>
    <w:rsid w:val="0057132D"/>
    <w:rsid w:val="005764C7"/>
    <w:rsid w:val="00593F47"/>
    <w:rsid w:val="00594942"/>
    <w:rsid w:val="0059638A"/>
    <w:rsid w:val="005A059B"/>
    <w:rsid w:val="005A103D"/>
    <w:rsid w:val="005A546B"/>
    <w:rsid w:val="005A5861"/>
    <w:rsid w:val="005A617C"/>
    <w:rsid w:val="005B0C27"/>
    <w:rsid w:val="005B4E2D"/>
    <w:rsid w:val="005C791A"/>
    <w:rsid w:val="005D07D4"/>
    <w:rsid w:val="005D2C10"/>
    <w:rsid w:val="005D617E"/>
    <w:rsid w:val="005D6A1E"/>
    <w:rsid w:val="005E7B0D"/>
    <w:rsid w:val="005E7EE2"/>
    <w:rsid w:val="005F3A52"/>
    <w:rsid w:val="00602BA0"/>
    <w:rsid w:val="006033E8"/>
    <w:rsid w:val="00603511"/>
    <w:rsid w:val="00605BAC"/>
    <w:rsid w:val="00610F2B"/>
    <w:rsid w:val="00613E57"/>
    <w:rsid w:val="00615754"/>
    <w:rsid w:val="00615B70"/>
    <w:rsid w:val="00626FFF"/>
    <w:rsid w:val="00633980"/>
    <w:rsid w:val="0063624B"/>
    <w:rsid w:val="00637038"/>
    <w:rsid w:val="0065441B"/>
    <w:rsid w:val="006725AB"/>
    <w:rsid w:val="006820EA"/>
    <w:rsid w:val="006841EA"/>
    <w:rsid w:val="00685CED"/>
    <w:rsid w:val="006A13AB"/>
    <w:rsid w:val="006A2A37"/>
    <w:rsid w:val="006B19C2"/>
    <w:rsid w:val="006B46D4"/>
    <w:rsid w:val="006B66F6"/>
    <w:rsid w:val="006B7A01"/>
    <w:rsid w:val="006C126E"/>
    <w:rsid w:val="006C1CF1"/>
    <w:rsid w:val="006C750F"/>
    <w:rsid w:val="006D5D3E"/>
    <w:rsid w:val="006E430F"/>
    <w:rsid w:val="006F67B1"/>
    <w:rsid w:val="00701892"/>
    <w:rsid w:val="00714FB9"/>
    <w:rsid w:val="00715D64"/>
    <w:rsid w:val="00736362"/>
    <w:rsid w:val="0073777B"/>
    <w:rsid w:val="00741C88"/>
    <w:rsid w:val="00744E40"/>
    <w:rsid w:val="00746AF1"/>
    <w:rsid w:val="007475FF"/>
    <w:rsid w:val="007520AB"/>
    <w:rsid w:val="00752172"/>
    <w:rsid w:val="00755D14"/>
    <w:rsid w:val="00761630"/>
    <w:rsid w:val="00761720"/>
    <w:rsid w:val="00766E5F"/>
    <w:rsid w:val="00767C33"/>
    <w:rsid w:val="007737BC"/>
    <w:rsid w:val="0077476B"/>
    <w:rsid w:val="00780136"/>
    <w:rsid w:val="007922D1"/>
    <w:rsid w:val="00792B25"/>
    <w:rsid w:val="00792D6D"/>
    <w:rsid w:val="007A2A33"/>
    <w:rsid w:val="007B0011"/>
    <w:rsid w:val="007B25D1"/>
    <w:rsid w:val="007B5B99"/>
    <w:rsid w:val="007B6609"/>
    <w:rsid w:val="007B7596"/>
    <w:rsid w:val="007D3D6D"/>
    <w:rsid w:val="007F1046"/>
    <w:rsid w:val="00801A44"/>
    <w:rsid w:val="00813C50"/>
    <w:rsid w:val="00815203"/>
    <w:rsid w:val="00823451"/>
    <w:rsid w:val="00823FCC"/>
    <w:rsid w:val="00830344"/>
    <w:rsid w:val="00833FE5"/>
    <w:rsid w:val="00844772"/>
    <w:rsid w:val="008519D2"/>
    <w:rsid w:val="00866FE3"/>
    <w:rsid w:val="00873CF0"/>
    <w:rsid w:val="00874B49"/>
    <w:rsid w:val="008756E2"/>
    <w:rsid w:val="00880620"/>
    <w:rsid w:val="00884C86"/>
    <w:rsid w:val="00884E78"/>
    <w:rsid w:val="0088699A"/>
    <w:rsid w:val="00890725"/>
    <w:rsid w:val="00893183"/>
    <w:rsid w:val="008966DF"/>
    <w:rsid w:val="008A1247"/>
    <w:rsid w:val="008A3933"/>
    <w:rsid w:val="008B59CB"/>
    <w:rsid w:val="008D6FFB"/>
    <w:rsid w:val="008F0D97"/>
    <w:rsid w:val="008F5965"/>
    <w:rsid w:val="008F6102"/>
    <w:rsid w:val="00915361"/>
    <w:rsid w:val="00920C88"/>
    <w:rsid w:val="00921B30"/>
    <w:rsid w:val="0092269B"/>
    <w:rsid w:val="0092441B"/>
    <w:rsid w:val="00926081"/>
    <w:rsid w:val="00933C4D"/>
    <w:rsid w:val="00934392"/>
    <w:rsid w:val="00935E77"/>
    <w:rsid w:val="00936EF3"/>
    <w:rsid w:val="00937802"/>
    <w:rsid w:val="00945E9C"/>
    <w:rsid w:val="009520B6"/>
    <w:rsid w:val="00953794"/>
    <w:rsid w:val="00962B4A"/>
    <w:rsid w:val="00966760"/>
    <w:rsid w:val="0097512F"/>
    <w:rsid w:val="00981C5A"/>
    <w:rsid w:val="0099030D"/>
    <w:rsid w:val="00995344"/>
    <w:rsid w:val="0099538C"/>
    <w:rsid w:val="009971FC"/>
    <w:rsid w:val="009A0467"/>
    <w:rsid w:val="009B1E91"/>
    <w:rsid w:val="009B30E7"/>
    <w:rsid w:val="009C4479"/>
    <w:rsid w:val="009D28FA"/>
    <w:rsid w:val="00A000E2"/>
    <w:rsid w:val="00A01F7E"/>
    <w:rsid w:val="00A037E6"/>
    <w:rsid w:val="00A0510B"/>
    <w:rsid w:val="00A15AB0"/>
    <w:rsid w:val="00A2303E"/>
    <w:rsid w:val="00A23129"/>
    <w:rsid w:val="00A26A7D"/>
    <w:rsid w:val="00A332FC"/>
    <w:rsid w:val="00A442FD"/>
    <w:rsid w:val="00A45CDB"/>
    <w:rsid w:val="00A57D1A"/>
    <w:rsid w:val="00A61D19"/>
    <w:rsid w:val="00A66F33"/>
    <w:rsid w:val="00A74C66"/>
    <w:rsid w:val="00A803AC"/>
    <w:rsid w:val="00A83FCB"/>
    <w:rsid w:val="00A84EE1"/>
    <w:rsid w:val="00A87D27"/>
    <w:rsid w:val="00AA27D7"/>
    <w:rsid w:val="00AA7D9F"/>
    <w:rsid w:val="00AB4A71"/>
    <w:rsid w:val="00AD1408"/>
    <w:rsid w:val="00AD2A81"/>
    <w:rsid w:val="00AD3780"/>
    <w:rsid w:val="00AE2DD2"/>
    <w:rsid w:val="00AE346E"/>
    <w:rsid w:val="00AE6B74"/>
    <w:rsid w:val="00B110CA"/>
    <w:rsid w:val="00B11E5E"/>
    <w:rsid w:val="00B26B0E"/>
    <w:rsid w:val="00B3177D"/>
    <w:rsid w:val="00B363F2"/>
    <w:rsid w:val="00B40AB3"/>
    <w:rsid w:val="00B4208C"/>
    <w:rsid w:val="00B44513"/>
    <w:rsid w:val="00B47721"/>
    <w:rsid w:val="00B52F64"/>
    <w:rsid w:val="00B663DF"/>
    <w:rsid w:val="00B74F01"/>
    <w:rsid w:val="00B94E31"/>
    <w:rsid w:val="00BA1523"/>
    <w:rsid w:val="00BA59C6"/>
    <w:rsid w:val="00BB5208"/>
    <w:rsid w:val="00BC0A9D"/>
    <w:rsid w:val="00BC1A59"/>
    <w:rsid w:val="00BD02B6"/>
    <w:rsid w:val="00BE17F2"/>
    <w:rsid w:val="00BE6831"/>
    <w:rsid w:val="00BF2358"/>
    <w:rsid w:val="00BF364C"/>
    <w:rsid w:val="00BF3A27"/>
    <w:rsid w:val="00C06544"/>
    <w:rsid w:val="00C16677"/>
    <w:rsid w:val="00C230C9"/>
    <w:rsid w:val="00C24F1E"/>
    <w:rsid w:val="00C31FB3"/>
    <w:rsid w:val="00C33D19"/>
    <w:rsid w:val="00C40245"/>
    <w:rsid w:val="00C418F9"/>
    <w:rsid w:val="00C436FC"/>
    <w:rsid w:val="00C4766B"/>
    <w:rsid w:val="00C548F0"/>
    <w:rsid w:val="00C55F56"/>
    <w:rsid w:val="00C65390"/>
    <w:rsid w:val="00C67F77"/>
    <w:rsid w:val="00C70FB5"/>
    <w:rsid w:val="00C73030"/>
    <w:rsid w:val="00C8223B"/>
    <w:rsid w:val="00C9223F"/>
    <w:rsid w:val="00C94015"/>
    <w:rsid w:val="00CA4A91"/>
    <w:rsid w:val="00CA5323"/>
    <w:rsid w:val="00CA5C2E"/>
    <w:rsid w:val="00CB0ADB"/>
    <w:rsid w:val="00CB5287"/>
    <w:rsid w:val="00CC149C"/>
    <w:rsid w:val="00CC2A82"/>
    <w:rsid w:val="00CC2EEC"/>
    <w:rsid w:val="00CC374F"/>
    <w:rsid w:val="00CE64C9"/>
    <w:rsid w:val="00CF40CC"/>
    <w:rsid w:val="00D033BA"/>
    <w:rsid w:val="00D04F9F"/>
    <w:rsid w:val="00D05635"/>
    <w:rsid w:val="00D14616"/>
    <w:rsid w:val="00D1641C"/>
    <w:rsid w:val="00D228FC"/>
    <w:rsid w:val="00D3294A"/>
    <w:rsid w:val="00D4044E"/>
    <w:rsid w:val="00D40FBD"/>
    <w:rsid w:val="00D42A1E"/>
    <w:rsid w:val="00D43368"/>
    <w:rsid w:val="00D45DDB"/>
    <w:rsid w:val="00D56A53"/>
    <w:rsid w:val="00D60217"/>
    <w:rsid w:val="00D62141"/>
    <w:rsid w:val="00D62172"/>
    <w:rsid w:val="00D70D95"/>
    <w:rsid w:val="00D75266"/>
    <w:rsid w:val="00D94849"/>
    <w:rsid w:val="00DA0988"/>
    <w:rsid w:val="00DA57C4"/>
    <w:rsid w:val="00DA5D91"/>
    <w:rsid w:val="00DB6FE5"/>
    <w:rsid w:val="00DB75CD"/>
    <w:rsid w:val="00DC0A6F"/>
    <w:rsid w:val="00DC323B"/>
    <w:rsid w:val="00DC766A"/>
    <w:rsid w:val="00DD2D32"/>
    <w:rsid w:val="00DD7990"/>
    <w:rsid w:val="00E048A8"/>
    <w:rsid w:val="00E12E25"/>
    <w:rsid w:val="00E233E8"/>
    <w:rsid w:val="00E404E3"/>
    <w:rsid w:val="00E428BF"/>
    <w:rsid w:val="00E4436D"/>
    <w:rsid w:val="00E50927"/>
    <w:rsid w:val="00E64FB5"/>
    <w:rsid w:val="00E919D4"/>
    <w:rsid w:val="00E93361"/>
    <w:rsid w:val="00E94337"/>
    <w:rsid w:val="00E95AB9"/>
    <w:rsid w:val="00E964EF"/>
    <w:rsid w:val="00EA080F"/>
    <w:rsid w:val="00EA4BAE"/>
    <w:rsid w:val="00EB718A"/>
    <w:rsid w:val="00EC2121"/>
    <w:rsid w:val="00EC25CB"/>
    <w:rsid w:val="00EC318B"/>
    <w:rsid w:val="00EC7942"/>
    <w:rsid w:val="00ED04BE"/>
    <w:rsid w:val="00ED2620"/>
    <w:rsid w:val="00ED6D39"/>
    <w:rsid w:val="00EE3D04"/>
    <w:rsid w:val="00EF2961"/>
    <w:rsid w:val="00EF7C75"/>
    <w:rsid w:val="00F01F98"/>
    <w:rsid w:val="00F04D16"/>
    <w:rsid w:val="00F14279"/>
    <w:rsid w:val="00F24B66"/>
    <w:rsid w:val="00F24DA0"/>
    <w:rsid w:val="00F31480"/>
    <w:rsid w:val="00F343EE"/>
    <w:rsid w:val="00F41A11"/>
    <w:rsid w:val="00F41D47"/>
    <w:rsid w:val="00F423F2"/>
    <w:rsid w:val="00F440B0"/>
    <w:rsid w:val="00F546AB"/>
    <w:rsid w:val="00F548F4"/>
    <w:rsid w:val="00F553C8"/>
    <w:rsid w:val="00F559A6"/>
    <w:rsid w:val="00F5668D"/>
    <w:rsid w:val="00F56A3E"/>
    <w:rsid w:val="00F63BD6"/>
    <w:rsid w:val="00FA2AFA"/>
    <w:rsid w:val="00FC0161"/>
    <w:rsid w:val="00FC29FB"/>
    <w:rsid w:val="00FD5D3F"/>
    <w:rsid w:val="00FE014C"/>
    <w:rsid w:val="00FE2B66"/>
    <w:rsid w:val="00FF4CEA"/>
    <w:rsid w:val="2295A676"/>
    <w:rsid w:val="28A4015D"/>
    <w:rsid w:val="44643DD2"/>
    <w:rsid w:val="45405D1F"/>
    <w:rsid w:val="4CBDAF34"/>
    <w:rsid w:val="539E5509"/>
    <w:rsid w:val="65F5D916"/>
    <w:rsid w:val="68875135"/>
    <w:rsid w:val="7361BC9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E1E4"/>
  <w15:chartTrackingRefBased/>
  <w15:docId w15:val="{48458A96-48E1-4961-BB31-EB78EC2B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9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9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9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9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9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9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9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9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9D8"/>
    <w:rPr>
      <w:rFonts w:eastAsiaTheme="majorEastAsia" w:cstheme="majorBidi"/>
      <w:color w:val="272727" w:themeColor="text1" w:themeTint="D8"/>
    </w:rPr>
  </w:style>
  <w:style w:type="paragraph" w:styleId="Title">
    <w:name w:val="Title"/>
    <w:basedOn w:val="Normal"/>
    <w:next w:val="Normal"/>
    <w:link w:val="TitleChar"/>
    <w:uiPriority w:val="10"/>
    <w:qFormat/>
    <w:rsid w:val="00452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9D8"/>
    <w:pPr>
      <w:spacing w:before="160"/>
      <w:jc w:val="center"/>
    </w:pPr>
    <w:rPr>
      <w:i/>
      <w:iCs/>
      <w:color w:val="404040" w:themeColor="text1" w:themeTint="BF"/>
    </w:rPr>
  </w:style>
  <w:style w:type="character" w:customStyle="1" w:styleId="QuoteChar">
    <w:name w:val="Quote Char"/>
    <w:basedOn w:val="DefaultParagraphFont"/>
    <w:link w:val="Quote"/>
    <w:uiPriority w:val="29"/>
    <w:rsid w:val="004529D8"/>
    <w:rPr>
      <w:i/>
      <w:iCs/>
      <w:color w:val="404040" w:themeColor="text1" w:themeTint="BF"/>
    </w:rPr>
  </w:style>
  <w:style w:type="paragraph" w:styleId="ListParagraph">
    <w:name w:val="List Paragraph"/>
    <w:basedOn w:val="Normal"/>
    <w:uiPriority w:val="34"/>
    <w:qFormat/>
    <w:rsid w:val="004529D8"/>
    <w:pPr>
      <w:ind w:left="720"/>
      <w:contextualSpacing/>
    </w:pPr>
  </w:style>
  <w:style w:type="character" w:styleId="IntenseEmphasis">
    <w:name w:val="Intense Emphasis"/>
    <w:basedOn w:val="DefaultParagraphFont"/>
    <w:uiPriority w:val="21"/>
    <w:qFormat/>
    <w:rsid w:val="004529D8"/>
    <w:rPr>
      <w:i/>
      <w:iCs/>
      <w:color w:val="2F5496" w:themeColor="accent1" w:themeShade="BF"/>
    </w:rPr>
  </w:style>
  <w:style w:type="paragraph" w:styleId="IntenseQuote">
    <w:name w:val="Intense Quote"/>
    <w:basedOn w:val="Normal"/>
    <w:next w:val="Normal"/>
    <w:link w:val="IntenseQuoteChar"/>
    <w:uiPriority w:val="30"/>
    <w:qFormat/>
    <w:rsid w:val="00452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9D8"/>
    <w:rPr>
      <w:i/>
      <w:iCs/>
      <w:color w:val="2F5496" w:themeColor="accent1" w:themeShade="BF"/>
    </w:rPr>
  </w:style>
  <w:style w:type="character" w:styleId="IntenseReference">
    <w:name w:val="Intense Reference"/>
    <w:basedOn w:val="DefaultParagraphFont"/>
    <w:uiPriority w:val="32"/>
    <w:qFormat/>
    <w:rsid w:val="004529D8"/>
    <w:rPr>
      <w:b/>
      <w:bCs/>
      <w:smallCaps/>
      <w:color w:val="2F5496" w:themeColor="accent1" w:themeShade="BF"/>
      <w:spacing w:val="5"/>
    </w:rPr>
  </w:style>
  <w:style w:type="paragraph" w:styleId="Revision">
    <w:name w:val="Revision"/>
    <w:hidden/>
    <w:uiPriority w:val="99"/>
    <w:semiHidden/>
    <w:rsid w:val="009971FC"/>
    <w:pPr>
      <w:spacing w:after="0" w:line="240" w:lineRule="auto"/>
    </w:pPr>
  </w:style>
  <w:style w:type="character" w:styleId="CommentReference">
    <w:name w:val="annotation reference"/>
    <w:basedOn w:val="DefaultParagraphFont"/>
    <w:uiPriority w:val="99"/>
    <w:semiHidden/>
    <w:unhideWhenUsed/>
    <w:rsid w:val="00BF364C"/>
    <w:rPr>
      <w:sz w:val="16"/>
      <w:szCs w:val="16"/>
    </w:rPr>
  </w:style>
  <w:style w:type="paragraph" w:styleId="CommentText">
    <w:name w:val="annotation text"/>
    <w:basedOn w:val="Normal"/>
    <w:link w:val="CommentTextChar"/>
    <w:uiPriority w:val="99"/>
    <w:unhideWhenUsed/>
    <w:rsid w:val="00BF364C"/>
    <w:pPr>
      <w:spacing w:line="240" w:lineRule="auto"/>
    </w:pPr>
    <w:rPr>
      <w:sz w:val="20"/>
      <w:szCs w:val="20"/>
    </w:rPr>
  </w:style>
  <w:style w:type="character" w:customStyle="1" w:styleId="CommentTextChar">
    <w:name w:val="Comment Text Char"/>
    <w:basedOn w:val="DefaultParagraphFont"/>
    <w:link w:val="CommentText"/>
    <w:uiPriority w:val="99"/>
    <w:rsid w:val="00BF364C"/>
    <w:rPr>
      <w:sz w:val="20"/>
      <w:szCs w:val="20"/>
    </w:rPr>
  </w:style>
  <w:style w:type="paragraph" w:styleId="CommentSubject">
    <w:name w:val="annotation subject"/>
    <w:basedOn w:val="CommentText"/>
    <w:next w:val="CommentText"/>
    <w:link w:val="CommentSubjectChar"/>
    <w:uiPriority w:val="99"/>
    <w:semiHidden/>
    <w:unhideWhenUsed/>
    <w:rsid w:val="00BF364C"/>
    <w:rPr>
      <w:b/>
      <w:bCs/>
    </w:rPr>
  </w:style>
  <w:style w:type="character" w:customStyle="1" w:styleId="CommentSubjectChar">
    <w:name w:val="Comment Subject Char"/>
    <w:basedOn w:val="CommentTextChar"/>
    <w:link w:val="CommentSubject"/>
    <w:uiPriority w:val="99"/>
    <w:semiHidden/>
    <w:rsid w:val="00BF364C"/>
    <w:rPr>
      <w:b/>
      <w:bCs/>
      <w:sz w:val="20"/>
      <w:szCs w:val="20"/>
    </w:rPr>
  </w:style>
  <w:style w:type="paragraph" w:styleId="FootnoteText">
    <w:name w:val="footnote text"/>
    <w:basedOn w:val="Normal"/>
    <w:link w:val="FootnoteTextChar"/>
    <w:uiPriority w:val="99"/>
    <w:semiHidden/>
    <w:unhideWhenUsed/>
    <w:rsid w:val="006E43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30F"/>
    <w:rPr>
      <w:sz w:val="20"/>
      <w:szCs w:val="20"/>
    </w:rPr>
  </w:style>
  <w:style w:type="character" w:styleId="FootnoteReference">
    <w:name w:val="footnote reference"/>
    <w:basedOn w:val="DefaultParagraphFont"/>
    <w:uiPriority w:val="99"/>
    <w:semiHidden/>
    <w:unhideWhenUsed/>
    <w:rsid w:val="006E430F"/>
    <w:rPr>
      <w:vertAlign w:val="superscript"/>
    </w:rPr>
  </w:style>
  <w:style w:type="character" w:styleId="Hyperlink">
    <w:name w:val="Hyperlink"/>
    <w:basedOn w:val="DefaultParagraphFont"/>
    <w:uiPriority w:val="99"/>
    <w:unhideWhenUsed/>
    <w:rsid w:val="006E430F"/>
    <w:rPr>
      <w:color w:val="0563C1" w:themeColor="hyperlink"/>
      <w:u w:val="single"/>
    </w:rPr>
  </w:style>
  <w:style w:type="character" w:styleId="UnresolvedMention">
    <w:name w:val="Unresolved Mention"/>
    <w:basedOn w:val="DefaultParagraphFont"/>
    <w:uiPriority w:val="99"/>
    <w:semiHidden/>
    <w:unhideWhenUsed/>
    <w:rsid w:val="006E430F"/>
    <w:rPr>
      <w:color w:val="605E5C"/>
      <w:shd w:val="clear" w:color="auto" w:fill="E1DFDD"/>
    </w:rPr>
  </w:style>
  <w:style w:type="paragraph" w:styleId="Header">
    <w:name w:val="header"/>
    <w:basedOn w:val="Normal"/>
    <w:link w:val="HeaderChar"/>
    <w:uiPriority w:val="99"/>
    <w:semiHidden/>
    <w:unhideWhenUsed/>
    <w:rsid w:val="00813C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3C50"/>
  </w:style>
  <w:style w:type="paragraph" w:styleId="Footer">
    <w:name w:val="footer"/>
    <w:basedOn w:val="Normal"/>
    <w:link w:val="FooterChar"/>
    <w:uiPriority w:val="99"/>
    <w:semiHidden/>
    <w:unhideWhenUsed/>
    <w:rsid w:val="00813C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10757">
      <w:bodyDiv w:val="1"/>
      <w:marLeft w:val="0"/>
      <w:marRight w:val="0"/>
      <w:marTop w:val="0"/>
      <w:marBottom w:val="0"/>
      <w:divBdr>
        <w:top w:val="none" w:sz="0" w:space="0" w:color="auto"/>
        <w:left w:val="none" w:sz="0" w:space="0" w:color="auto"/>
        <w:bottom w:val="none" w:sz="0" w:space="0" w:color="auto"/>
        <w:right w:val="none" w:sz="0" w:space="0" w:color="auto"/>
      </w:divBdr>
      <w:divsChild>
        <w:div w:id="723404701">
          <w:marLeft w:val="0"/>
          <w:marRight w:val="0"/>
          <w:marTop w:val="0"/>
          <w:marBottom w:val="0"/>
          <w:divBdr>
            <w:top w:val="none" w:sz="0" w:space="0" w:color="auto"/>
            <w:left w:val="none" w:sz="0" w:space="0" w:color="auto"/>
            <w:bottom w:val="none" w:sz="0" w:space="0" w:color="auto"/>
            <w:right w:val="none" w:sz="0" w:space="0" w:color="auto"/>
          </w:divBdr>
          <w:divsChild>
            <w:div w:id="1467892902">
              <w:marLeft w:val="0"/>
              <w:marRight w:val="0"/>
              <w:marTop w:val="0"/>
              <w:marBottom w:val="0"/>
              <w:divBdr>
                <w:top w:val="none" w:sz="0" w:space="0" w:color="auto"/>
                <w:left w:val="none" w:sz="0" w:space="0" w:color="auto"/>
                <w:bottom w:val="none" w:sz="0" w:space="0" w:color="auto"/>
                <w:right w:val="none" w:sz="0" w:space="0" w:color="auto"/>
              </w:divBdr>
              <w:divsChild>
                <w:div w:id="2005158422">
                  <w:marLeft w:val="0"/>
                  <w:marRight w:val="0"/>
                  <w:marTop w:val="0"/>
                  <w:marBottom w:val="0"/>
                  <w:divBdr>
                    <w:top w:val="none" w:sz="0" w:space="0" w:color="auto"/>
                    <w:left w:val="none" w:sz="0" w:space="0" w:color="auto"/>
                    <w:bottom w:val="none" w:sz="0" w:space="0" w:color="auto"/>
                    <w:right w:val="none" w:sz="0" w:space="0" w:color="auto"/>
                  </w:divBdr>
                  <w:divsChild>
                    <w:div w:id="24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0040">
          <w:marLeft w:val="0"/>
          <w:marRight w:val="0"/>
          <w:marTop w:val="0"/>
          <w:marBottom w:val="0"/>
          <w:divBdr>
            <w:top w:val="none" w:sz="0" w:space="0" w:color="auto"/>
            <w:left w:val="none" w:sz="0" w:space="0" w:color="auto"/>
            <w:bottom w:val="none" w:sz="0" w:space="0" w:color="auto"/>
            <w:right w:val="none" w:sz="0" w:space="0" w:color="auto"/>
          </w:divBdr>
          <w:divsChild>
            <w:div w:id="220675652">
              <w:marLeft w:val="0"/>
              <w:marRight w:val="0"/>
              <w:marTop w:val="0"/>
              <w:marBottom w:val="0"/>
              <w:divBdr>
                <w:top w:val="none" w:sz="0" w:space="0" w:color="auto"/>
                <w:left w:val="none" w:sz="0" w:space="0" w:color="auto"/>
                <w:bottom w:val="none" w:sz="0" w:space="0" w:color="auto"/>
                <w:right w:val="none" w:sz="0" w:space="0" w:color="auto"/>
              </w:divBdr>
              <w:divsChild>
                <w:div w:id="700328927">
                  <w:marLeft w:val="0"/>
                  <w:marRight w:val="0"/>
                  <w:marTop w:val="0"/>
                  <w:marBottom w:val="0"/>
                  <w:divBdr>
                    <w:top w:val="none" w:sz="0" w:space="0" w:color="auto"/>
                    <w:left w:val="none" w:sz="0" w:space="0" w:color="auto"/>
                    <w:bottom w:val="none" w:sz="0" w:space="0" w:color="auto"/>
                    <w:right w:val="none" w:sz="0" w:space="0" w:color="auto"/>
                  </w:divBdr>
                  <w:divsChild>
                    <w:div w:id="19318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585">
      <w:bodyDiv w:val="1"/>
      <w:marLeft w:val="0"/>
      <w:marRight w:val="0"/>
      <w:marTop w:val="0"/>
      <w:marBottom w:val="0"/>
      <w:divBdr>
        <w:top w:val="none" w:sz="0" w:space="0" w:color="auto"/>
        <w:left w:val="none" w:sz="0" w:space="0" w:color="auto"/>
        <w:bottom w:val="none" w:sz="0" w:space="0" w:color="auto"/>
        <w:right w:val="none" w:sz="0" w:space="0" w:color="auto"/>
      </w:divBdr>
    </w:div>
    <w:div w:id="646591838">
      <w:bodyDiv w:val="1"/>
      <w:marLeft w:val="0"/>
      <w:marRight w:val="0"/>
      <w:marTop w:val="0"/>
      <w:marBottom w:val="0"/>
      <w:divBdr>
        <w:top w:val="none" w:sz="0" w:space="0" w:color="auto"/>
        <w:left w:val="none" w:sz="0" w:space="0" w:color="auto"/>
        <w:bottom w:val="none" w:sz="0" w:space="0" w:color="auto"/>
        <w:right w:val="none" w:sz="0" w:space="0" w:color="auto"/>
      </w:divBdr>
      <w:divsChild>
        <w:div w:id="322658965">
          <w:marLeft w:val="0"/>
          <w:marRight w:val="0"/>
          <w:marTop w:val="0"/>
          <w:marBottom w:val="0"/>
          <w:divBdr>
            <w:top w:val="none" w:sz="0" w:space="0" w:color="auto"/>
            <w:left w:val="none" w:sz="0" w:space="0" w:color="auto"/>
            <w:bottom w:val="none" w:sz="0" w:space="0" w:color="auto"/>
            <w:right w:val="none" w:sz="0" w:space="0" w:color="auto"/>
          </w:divBdr>
          <w:divsChild>
            <w:div w:id="1965385539">
              <w:marLeft w:val="0"/>
              <w:marRight w:val="0"/>
              <w:marTop w:val="0"/>
              <w:marBottom w:val="0"/>
              <w:divBdr>
                <w:top w:val="none" w:sz="0" w:space="0" w:color="auto"/>
                <w:left w:val="none" w:sz="0" w:space="0" w:color="auto"/>
                <w:bottom w:val="none" w:sz="0" w:space="0" w:color="auto"/>
                <w:right w:val="none" w:sz="0" w:space="0" w:color="auto"/>
              </w:divBdr>
              <w:divsChild>
                <w:div w:id="2110076224">
                  <w:marLeft w:val="0"/>
                  <w:marRight w:val="0"/>
                  <w:marTop w:val="0"/>
                  <w:marBottom w:val="0"/>
                  <w:divBdr>
                    <w:top w:val="none" w:sz="0" w:space="0" w:color="auto"/>
                    <w:left w:val="none" w:sz="0" w:space="0" w:color="auto"/>
                    <w:bottom w:val="none" w:sz="0" w:space="0" w:color="auto"/>
                    <w:right w:val="none" w:sz="0" w:space="0" w:color="auto"/>
                  </w:divBdr>
                  <w:divsChild>
                    <w:div w:id="13285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8872">
          <w:marLeft w:val="0"/>
          <w:marRight w:val="0"/>
          <w:marTop w:val="0"/>
          <w:marBottom w:val="0"/>
          <w:divBdr>
            <w:top w:val="none" w:sz="0" w:space="0" w:color="auto"/>
            <w:left w:val="none" w:sz="0" w:space="0" w:color="auto"/>
            <w:bottom w:val="none" w:sz="0" w:space="0" w:color="auto"/>
            <w:right w:val="none" w:sz="0" w:space="0" w:color="auto"/>
          </w:divBdr>
          <w:divsChild>
            <w:div w:id="1967465734">
              <w:marLeft w:val="0"/>
              <w:marRight w:val="0"/>
              <w:marTop w:val="0"/>
              <w:marBottom w:val="0"/>
              <w:divBdr>
                <w:top w:val="none" w:sz="0" w:space="0" w:color="auto"/>
                <w:left w:val="none" w:sz="0" w:space="0" w:color="auto"/>
                <w:bottom w:val="none" w:sz="0" w:space="0" w:color="auto"/>
                <w:right w:val="none" w:sz="0" w:space="0" w:color="auto"/>
              </w:divBdr>
              <w:divsChild>
                <w:div w:id="1448967720">
                  <w:marLeft w:val="0"/>
                  <w:marRight w:val="0"/>
                  <w:marTop w:val="0"/>
                  <w:marBottom w:val="0"/>
                  <w:divBdr>
                    <w:top w:val="none" w:sz="0" w:space="0" w:color="auto"/>
                    <w:left w:val="none" w:sz="0" w:space="0" w:color="auto"/>
                    <w:bottom w:val="none" w:sz="0" w:space="0" w:color="auto"/>
                    <w:right w:val="none" w:sz="0" w:space="0" w:color="auto"/>
                  </w:divBdr>
                  <w:divsChild>
                    <w:div w:id="928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40248">
      <w:bodyDiv w:val="1"/>
      <w:marLeft w:val="0"/>
      <w:marRight w:val="0"/>
      <w:marTop w:val="0"/>
      <w:marBottom w:val="0"/>
      <w:divBdr>
        <w:top w:val="none" w:sz="0" w:space="0" w:color="auto"/>
        <w:left w:val="none" w:sz="0" w:space="0" w:color="auto"/>
        <w:bottom w:val="none" w:sz="0" w:space="0" w:color="auto"/>
        <w:right w:val="none" w:sz="0" w:space="0" w:color="auto"/>
      </w:divBdr>
    </w:div>
    <w:div w:id="879514682">
      <w:bodyDiv w:val="1"/>
      <w:marLeft w:val="0"/>
      <w:marRight w:val="0"/>
      <w:marTop w:val="0"/>
      <w:marBottom w:val="0"/>
      <w:divBdr>
        <w:top w:val="none" w:sz="0" w:space="0" w:color="auto"/>
        <w:left w:val="none" w:sz="0" w:space="0" w:color="auto"/>
        <w:bottom w:val="none" w:sz="0" w:space="0" w:color="auto"/>
        <w:right w:val="none" w:sz="0" w:space="0" w:color="auto"/>
      </w:divBdr>
    </w:div>
    <w:div w:id="1004552604">
      <w:bodyDiv w:val="1"/>
      <w:marLeft w:val="0"/>
      <w:marRight w:val="0"/>
      <w:marTop w:val="0"/>
      <w:marBottom w:val="0"/>
      <w:divBdr>
        <w:top w:val="none" w:sz="0" w:space="0" w:color="auto"/>
        <w:left w:val="none" w:sz="0" w:space="0" w:color="auto"/>
        <w:bottom w:val="none" w:sz="0" w:space="0" w:color="auto"/>
        <w:right w:val="none" w:sz="0" w:space="0" w:color="auto"/>
      </w:divBdr>
    </w:div>
    <w:div w:id="1073357677">
      <w:bodyDiv w:val="1"/>
      <w:marLeft w:val="0"/>
      <w:marRight w:val="0"/>
      <w:marTop w:val="0"/>
      <w:marBottom w:val="0"/>
      <w:divBdr>
        <w:top w:val="none" w:sz="0" w:space="0" w:color="auto"/>
        <w:left w:val="none" w:sz="0" w:space="0" w:color="auto"/>
        <w:bottom w:val="none" w:sz="0" w:space="0" w:color="auto"/>
        <w:right w:val="none" w:sz="0" w:space="0" w:color="auto"/>
      </w:divBdr>
    </w:div>
    <w:div w:id="1168864309">
      <w:bodyDiv w:val="1"/>
      <w:marLeft w:val="0"/>
      <w:marRight w:val="0"/>
      <w:marTop w:val="0"/>
      <w:marBottom w:val="0"/>
      <w:divBdr>
        <w:top w:val="none" w:sz="0" w:space="0" w:color="auto"/>
        <w:left w:val="none" w:sz="0" w:space="0" w:color="auto"/>
        <w:bottom w:val="none" w:sz="0" w:space="0" w:color="auto"/>
        <w:right w:val="none" w:sz="0" w:space="0" w:color="auto"/>
      </w:divBdr>
    </w:div>
    <w:div w:id="1593395920">
      <w:bodyDiv w:val="1"/>
      <w:marLeft w:val="0"/>
      <w:marRight w:val="0"/>
      <w:marTop w:val="0"/>
      <w:marBottom w:val="0"/>
      <w:divBdr>
        <w:top w:val="none" w:sz="0" w:space="0" w:color="auto"/>
        <w:left w:val="none" w:sz="0" w:space="0" w:color="auto"/>
        <w:bottom w:val="none" w:sz="0" w:space="0" w:color="auto"/>
        <w:right w:val="none" w:sz="0" w:space="0" w:color="auto"/>
      </w:divBdr>
    </w:div>
    <w:div w:id="1630748168">
      <w:bodyDiv w:val="1"/>
      <w:marLeft w:val="0"/>
      <w:marRight w:val="0"/>
      <w:marTop w:val="0"/>
      <w:marBottom w:val="0"/>
      <w:divBdr>
        <w:top w:val="none" w:sz="0" w:space="0" w:color="auto"/>
        <w:left w:val="none" w:sz="0" w:space="0" w:color="auto"/>
        <w:bottom w:val="none" w:sz="0" w:space="0" w:color="auto"/>
        <w:right w:val="none" w:sz="0" w:space="0" w:color="auto"/>
      </w:divBdr>
      <w:divsChild>
        <w:div w:id="597101935">
          <w:marLeft w:val="0"/>
          <w:marRight w:val="0"/>
          <w:marTop w:val="0"/>
          <w:marBottom w:val="0"/>
          <w:divBdr>
            <w:top w:val="none" w:sz="0" w:space="0" w:color="auto"/>
            <w:left w:val="none" w:sz="0" w:space="0" w:color="auto"/>
            <w:bottom w:val="none" w:sz="0" w:space="0" w:color="auto"/>
            <w:right w:val="none" w:sz="0" w:space="0" w:color="auto"/>
          </w:divBdr>
          <w:divsChild>
            <w:div w:id="1286737018">
              <w:marLeft w:val="0"/>
              <w:marRight w:val="0"/>
              <w:marTop w:val="0"/>
              <w:marBottom w:val="0"/>
              <w:divBdr>
                <w:top w:val="none" w:sz="0" w:space="0" w:color="auto"/>
                <w:left w:val="none" w:sz="0" w:space="0" w:color="auto"/>
                <w:bottom w:val="none" w:sz="0" w:space="0" w:color="auto"/>
                <w:right w:val="none" w:sz="0" w:space="0" w:color="auto"/>
              </w:divBdr>
              <w:divsChild>
                <w:div w:id="582222286">
                  <w:marLeft w:val="0"/>
                  <w:marRight w:val="0"/>
                  <w:marTop w:val="0"/>
                  <w:marBottom w:val="0"/>
                  <w:divBdr>
                    <w:top w:val="none" w:sz="0" w:space="0" w:color="auto"/>
                    <w:left w:val="none" w:sz="0" w:space="0" w:color="auto"/>
                    <w:bottom w:val="none" w:sz="0" w:space="0" w:color="auto"/>
                    <w:right w:val="none" w:sz="0" w:space="0" w:color="auto"/>
                  </w:divBdr>
                  <w:divsChild>
                    <w:div w:id="12489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5239">
          <w:marLeft w:val="0"/>
          <w:marRight w:val="0"/>
          <w:marTop w:val="0"/>
          <w:marBottom w:val="0"/>
          <w:divBdr>
            <w:top w:val="none" w:sz="0" w:space="0" w:color="auto"/>
            <w:left w:val="none" w:sz="0" w:space="0" w:color="auto"/>
            <w:bottom w:val="none" w:sz="0" w:space="0" w:color="auto"/>
            <w:right w:val="none" w:sz="0" w:space="0" w:color="auto"/>
          </w:divBdr>
          <w:divsChild>
            <w:div w:id="1719697188">
              <w:marLeft w:val="0"/>
              <w:marRight w:val="0"/>
              <w:marTop w:val="0"/>
              <w:marBottom w:val="0"/>
              <w:divBdr>
                <w:top w:val="none" w:sz="0" w:space="0" w:color="auto"/>
                <w:left w:val="none" w:sz="0" w:space="0" w:color="auto"/>
                <w:bottom w:val="none" w:sz="0" w:space="0" w:color="auto"/>
                <w:right w:val="none" w:sz="0" w:space="0" w:color="auto"/>
              </w:divBdr>
              <w:divsChild>
                <w:div w:id="277567573">
                  <w:marLeft w:val="0"/>
                  <w:marRight w:val="0"/>
                  <w:marTop w:val="0"/>
                  <w:marBottom w:val="0"/>
                  <w:divBdr>
                    <w:top w:val="none" w:sz="0" w:space="0" w:color="auto"/>
                    <w:left w:val="none" w:sz="0" w:space="0" w:color="auto"/>
                    <w:bottom w:val="none" w:sz="0" w:space="0" w:color="auto"/>
                    <w:right w:val="none" w:sz="0" w:space="0" w:color="auto"/>
                  </w:divBdr>
                  <w:divsChild>
                    <w:div w:id="899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63582">
      <w:bodyDiv w:val="1"/>
      <w:marLeft w:val="0"/>
      <w:marRight w:val="0"/>
      <w:marTop w:val="0"/>
      <w:marBottom w:val="0"/>
      <w:divBdr>
        <w:top w:val="none" w:sz="0" w:space="0" w:color="auto"/>
        <w:left w:val="none" w:sz="0" w:space="0" w:color="auto"/>
        <w:bottom w:val="none" w:sz="0" w:space="0" w:color="auto"/>
        <w:right w:val="none" w:sz="0" w:space="0" w:color="auto"/>
      </w:divBdr>
    </w:div>
    <w:div w:id="1690181792">
      <w:bodyDiv w:val="1"/>
      <w:marLeft w:val="0"/>
      <w:marRight w:val="0"/>
      <w:marTop w:val="0"/>
      <w:marBottom w:val="0"/>
      <w:divBdr>
        <w:top w:val="none" w:sz="0" w:space="0" w:color="auto"/>
        <w:left w:val="none" w:sz="0" w:space="0" w:color="auto"/>
        <w:bottom w:val="none" w:sz="0" w:space="0" w:color="auto"/>
        <w:right w:val="none" w:sz="0" w:space="0" w:color="auto"/>
      </w:divBdr>
    </w:div>
    <w:div w:id="1723168949">
      <w:bodyDiv w:val="1"/>
      <w:marLeft w:val="0"/>
      <w:marRight w:val="0"/>
      <w:marTop w:val="0"/>
      <w:marBottom w:val="0"/>
      <w:divBdr>
        <w:top w:val="none" w:sz="0" w:space="0" w:color="auto"/>
        <w:left w:val="none" w:sz="0" w:space="0" w:color="auto"/>
        <w:bottom w:val="none" w:sz="0" w:space="0" w:color="auto"/>
        <w:right w:val="none" w:sz="0" w:space="0" w:color="auto"/>
      </w:divBdr>
      <w:divsChild>
        <w:div w:id="1413745597">
          <w:marLeft w:val="763"/>
          <w:marRight w:val="0"/>
          <w:marTop w:val="142"/>
          <w:marBottom w:val="0"/>
          <w:divBdr>
            <w:top w:val="none" w:sz="0" w:space="0" w:color="auto"/>
            <w:left w:val="none" w:sz="0" w:space="0" w:color="auto"/>
            <w:bottom w:val="none" w:sz="0" w:space="0" w:color="auto"/>
            <w:right w:val="none" w:sz="0" w:space="0" w:color="auto"/>
          </w:divBdr>
        </w:div>
      </w:divsChild>
    </w:div>
    <w:div w:id="1866596835">
      <w:bodyDiv w:val="1"/>
      <w:marLeft w:val="0"/>
      <w:marRight w:val="0"/>
      <w:marTop w:val="0"/>
      <w:marBottom w:val="0"/>
      <w:divBdr>
        <w:top w:val="none" w:sz="0" w:space="0" w:color="auto"/>
        <w:left w:val="none" w:sz="0" w:space="0" w:color="auto"/>
        <w:bottom w:val="none" w:sz="0" w:space="0" w:color="auto"/>
        <w:right w:val="none" w:sz="0" w:space="0" w:color="auto"/>
      </w:divBdr>
      <w:divsChild>
        <w:div w:id="21706902">
          <w:marLeft w:val="0"/>
          <w:marRight w:val="0"/>
          <w:marTop w:val="0"/>
          <w:marBottom w:val="0"/>
          <w:divBdr>
            <w:top w:val="none" w:sz="0" w:space="0" w:color="auto"/>
            <w:left w:val="none" w:sz="0" w:space="0" w:color="auto"/>
            <w:bottom w:val="none" w:sz="0" w:space="0" w:color="auto"/>
            <w:right w:val="none" w:sz="0" w:space="0" w:color="auto"/>
          </w:divBdr>
          <w:divsChild>
            <w:div w:id="229853389">
              <w:marLeft w:val="0"/>
              <w:marRight w:val="0"/>
              <w:marTop w:val="0"/>
              <w:marBottom w:val="0"/>
              <w:divBdr>
                <w:top w:val="none" w:sz="0" w:space="0" w:color="auto"/>
                <w:left w:val="none" w:sz="0" w:space="0" w:color="auto"/>
                <w:bottom w:val="none" w:sz="0" w:space="0" w:color="auto"/>
                <w:right w:val="none" w:sz="0" w:space="0" w:color="auto"/>
              </w:divBdr>
              <w:divsChild>
                <w:div w:id="602416591">
                  <w:marLeft w:val="0"/>
                  <w:marRight w:val="0"/>
                  <w:marTop w:val="0"/>
                  <w:marBottom w:val="0"/>
                  <w:divBdr>
                    <w:top w:val="none" w:sz="0" w:space="0" w:color="auto"/>
                    <w:left w:val="none" w:sz="0" w:space="0" w:color="auto"/>
                    <w:bottom w:val="none" w:sz="0" w:space="0" w:color="auto"/>
                    <w:right w:val="none" w:sz="0" w:space="0" w:color="auto"/>
                  </w:divBdr>
                  <w:divsChild>
                    <w:div w:id="14579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42343">
          <w:marLeft w:val="0"/>
          <w:marRight w:val="0"/>
          <w:marTop w:val="0"/>
          <w:marBottom w:val="0"/>
          <w:divBdr>
            <w:top w:val="none" w:sz="0" w:space="0" w:color="auto"/>
            <w:left w:val="none" w:sz="0" w:space="0" w:color="auto"/>
            <w:bottom w:val="none" w:sz="0" w:space="0" w:color="auto"/>
            <w:right w:val="none" w:sz="0" w:space="0" w:color="auto"/>
          </w:divBdr>
          <w:divsChild>
            <w:div w:id="2024897746">
              <w:marLeft w:val="0"/>
              <w:marRight w:val="0"/>
              <w:marTop w:val="0"/>
              <w:marBottom w:val="0"/>
              <w:divBdr>
                <w:top w:val="none" w:sz="0" w:space="0" w:color="auto"/>
                <w:left w:val="none" w:sz="0" w:space="0" w:color="auto"/>
                <w:bottom w:val="none" w:sz="0" w:space="0" w:color="auto"/>
                <w:right w:val="none" w:sz="0" w:space="0" w:color="auto"/>
              </w:divBdr>
              <w:divsChild>
                <w:div w:id="1013415601">
                  <w:marLeft w:val="0"/>
                  <w:marRight w:val="0"/>
                  <w:marTop w:val="0"/>
                  <w:marBottom w:val="0"/>
                  <w:divBdr>
                    <w:top w:val="none" w:sz="0" w:space="0" w:color="auto"/>
                    <w:left w:val="none" w:sz="0" w:space="0" w:color="auto"/>
                    <w:bottom w:val="none" w:sz="0" w:space="0" w:color="auto"/>
                    <w:right w:val="none" w:sz="0" w:space="0" w:color="auto"/>
                  </w:divBdr>
                  <w:divsChild>
                    <w:div w:id="7719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imco.org/news-and-trends/market-reports/shipping-number-of-the-week/20230516-s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b0a10c-c839-4b9e-967a-a3e115ecc353" xsi:nil="true"/>
    <lcf76f155ced4ddcb4097134ff3c332f xmlns="24df6be7-ac19-46ef-a756-857b6b6967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8834FABF905C45909E57DC0CD998AE" ma:contentTypeVersion="15" ma:contentTypeDescription="Create a new document." ma:contentTypeScope="" ma:versionID="21aec817c923583489ea98748f5566e0">
  <xsd:schema xmlns:xsd="http://www.w3.org/2001/XMLSchema" xmlns:xs="http://www.w3.org/2001/XMLSchema" xmlns:p="http://schemas.microsoft.com/office/2006/metadata/properties" xmlns:ns2="24df6be7-ac19-46ef-a756-857b6b69678d" xmlns:ns3="10b0a10c-c839-4b9e-967a-a3e115ecc353" targetNamespace="http://schemas.microsoft.com/office/2006/metadata/properties" ma:root="true" ma:fieldsID="a4503a0d4b3d395b1870b0d69ab77619" ns2:_="" ns3:_="">
    <xsd:import namespace="24df6be7-ac19-46ef-a756-857b6b69678d"/>
    <xsd:import namespace="10b0a10c-c839-4b9e-967a-a3e115ecc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f6be7-ac19-46ef-a756-857b6b69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a14dd9-938a-48a1-8ea7-8db923733d4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0a10c-c839-4b9e-967a-a3e115ecc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9af43b4-0435-4946-b557-cbe604cd415b}" ma:internalName="TaxCatchAll" ma:showField="CatchAllData" ma:web="10b0a10c-c839-4b9e-967a-a3e115ecc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5C6B0-2F99-4624-8648-6DA6098675AA}">
  <ds:schemaRefs>
    <ds:schemaRef ds:uri="http://schemas.microsoft.com/office/2006/metadata/properties"/>
    <ds:schemaRef ds:uri="http://schemas.microsoft.com/office/infopath/2007/PartnerControls"/>
    <ds:schemaRef ds:uri="10b0a10c-c839-4b9e-967a-a3e115ecc353"/>
    <ds:schemaRef ds:uri="24df6be7-ac19-46ef-a756-857b6b69678d"/>
  </ds:schemaRefs>
</ds:datastoreItem>
</file>

<file path=customXml/itemProps2.xml><?xml version="1.0" encoding="utf-8"?>
<ds:datastoreItem xmlns:ds="http://schemas.openxmlformats.org/officeDocument/2006/customXml" ds:itemID="{ABCFFC62-11B5-429A-8217-8115B6FA8E54}">
  <ds:schemaRefs>
    <ds:schemaRef ds:uri="http://schemas.microsoft.com/sharepoint/v3/contenttype/forms"/>
  </ds:schemaRefs>
</ds:datastoreItem>
</file>

<file path=customXml/itemProps3.xml><?xml version="1.0" encoding="utf-8"?>
<ds:datastoreItem xmlns:ds="http://schemas.openxmlformats.org/officeDocument/2006/customXml" ds:itemID="{A224CF1E-D134-472D-BB26-FB5AB8907DEF}">
  <ds:schemaRefs>
    <ds:schemaRef ds:uri="http://schemas.openxmlformats.org/officeDocument/2006/bibliography"/>
  </ds:schemaRefs>
</ds:datastoreItem>
</file>

<file path=customXml/itemProps4.xml><?xml version="1.0" encoding="utf-8"?>
<ds:datastoreItem xmlns:ds="http://schemas.openxmlformats.org/officeDocument/2006/customXml" ds:itemID="{AE7D21CA-4A8E-436A-B284-745F7CB0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f6be7-ac19-46ef-a756-857b6b69678d"/>
    <ds:schemaRef ds:uri="10b0a10c-c839-4b9e-967a-a3e115ecc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7189</Characters>
  <Application>Microsoft Office Word</Application>
  <DocSecurity>0</DocSecurity>
  <Lines>59</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Tonnesen</dc:creator>
  <cp:keywords/>
  <dc:description/>
  <cp:lastModifiedBy>Ulrik Tonnesen</cp:lastModifiedBy>
  <cp:revision>2</cp:revision>
  <dcterms:created xsi:type="dcterms:W3CDTF">2024-10-25T09:56:00Z</dcterms:created>
  <dcterms:modified xsi:type="dcterms:W3CDTF">2024-10-25T09:56:00Z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0x0101005E8834FABF905C45909E57DC0CD998AE</vt:lpwstr>
  </property>
  <property fmtid="{D5CDD505-2E9C-101B-9397-08002B2CF9AE}" pid="3" name="MediaServiceImageTags">
    <vt:lpwstr/>
  </property>
</Properties>
</file>